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Arial" w:hAnsi="Arial" w:eastAsia="黑体" w:cs="Arial"/>
          <w:b/>
          <w:bCs/>
          <w:color w:val="auto"/>
          <w:szCs w:val="21"/>
        </w:rPr>
      </w:pPr>
      <w:r>
        <w:rPr>
          <w:rFonts w:ascii="Arial" w:hAnsi="Arial" w:eastAsia="黑体" w:cs="Arial"/>
          <w:b/>
          <w:bCs/>
          <w:color w:val="auto"/>
          <w:szCs w:val="21"/>
        </w:rPr>
        <w:t>CS</w:t>
      </w:r>
      <w:r>
        <w:rPr>
          <w:rFonts w:hint="eastAsia" w:ascii="Arial" w:hAnsi="Arial" w:eastAsia="黑体" w:cs="Arial"/>
          <w:b/>
          <w:bCs/>
          <w:color w:val="auto"/>
          <w:szCs w:val="21"/>
        </w:rPr>
        <w:t>XXX</w:t>
      </w:r>
      <w:r>
        <w:rPr>
          <w:rFonts w:ascii="Arial" w:hAnsi="Arial" w:eastAsia="黑体" w:cs="Arial"/>
          <w:b/>
          <w:bCs/>
          <w:color w:val="auto"/>
          <w:szCs w:val="21"/>
        </w:rPr>
        <w:t xml:space="preserve"> </w:t>
      </w:r>
    </w:p>
    <w:p>
      <w:pPr>
        <w:jc w:val="right"/>
        <w:rPr>
          <w:rFonts w:ascii="Times New Roman" w:hAnsi="Times New Roman" w:eastAsia="黑体" w:cs="Times New Roman"/>
          <w:b/>
          <w:bCs/>
          <w:color w:val="auto"/>
          <w:sz w:val="98"/>
          <w:szCs w:val="84"/>
        </w:rPr>
      </w:pPr>
      <w:r>
        <w:rPr>
          <w:rFonts w:ascii="Times New Roman" w:hAnsi="Times New Roman" w:eastAsia="黑体" w:cs="Times New Roman"/>
          <w:b/>
          <w:bCs/>
          <w:color w:val="auto"/>
          <w:sz w:val="98"/>
          <w:szCs w:val="84"/>
        </w:rPr>
        <w:t>DB</w:t>
      </w:r>
    </w:p>
    <w:p>
      <w:pPr>
        <w:jc w:val="right"/>
        <w:rPr>
          <w:rFonts w:ascii="Times New Roman" w:hAnsi="Times New Roman" w:eastAsia="黑体" w:cs="Times New Roman"/>
          <w:bCs/>
          <w:color w:val="auto"/>
          <w:sz w:val="28"/>
          <w:szCs w:val="28"/>
        </w:rPr>
      </w:pPr>
    </w:p>
    <w:p>
      <w:pPr>
        <w:jc w:val="distribute"/>
        <w:rPr>
          <w:rFonts w:ascii="Times New Roman" w:hAnsi="Times New Roman" w:eastAsia="黑体" w:cs="Times New Roman"/>
          <w:bCs/>
          <w:color w:val="auto"/>
          <w:sz w:val="56"/>
          <w:szCs w:val="52"/>
        </w:rPr>
      </w:pPr>
      <w:r>
        <w:rPr>
          <w:rFonts w:hint="eastAsia" w:ascii="Times New Roman" w:hAnsi="Times New Roman" w:eastAsia="黑体" w:cs="Times New Roman"/>
          <w:bCs/>
          <w:color w:val="auto"/>
          <w:sz w:val="56"/>
          <w:szCs w:val="52"/>
        </w:rPr>
        <w:t>湖南省地方标准</w:t>
      </w:r>
    </w:p>
    <w:p>
      <w:pPr>
        <w:jc w:val="right"/>
        <w:rPr>
          <w:rFonts w:ascii="Times New Roman" w:hAnsi="Times New Roman" w:eastAsia="黑体" w:cs="Times New Roman"/>
          <w:bCs/>
          <w:color w:val="auto"/>
          <w:sz w:val="28"/>
          <w:szCs w:val="28"/>
        </w:rPr>
      </w:pPr>
    </w:p>
    <w:p>
      <w:pPr>
        <w:jc w:val="right"/>
        <w:rPr>
          <w:rFonts w:ascii="Times New Roman" w:hAnsi="Times New Roman" w:eastAsia="黑体" w:cs="Times New Roman"/>
          <w:bCs/>
          <w:color w:val="auto"/>
          <w:sz w:val="28"/>
          <w:szCs w:val="28"/>
        </w:rPr>
      </w:pPr>
      <w:r>
        <w:rPr>
          <w:rFonts w:hint="eastAsia" w:ascii="Times New Roman" w:hAnsi="Times New Roman" w:eastAsia="黑体" w:cs="Times New Roman"/>
          <w:bCs/>
          <w:color w:val="auto"/>
          <w:sz w:val="28"/>
          <w:szCs w:val="28"/>
        </w:rPr>
        <w:t>DBXX/T XXX—2022</w:t>
      </w:r>
    </w:p>
    <w:p>
      <w:pPr>
        <w:jc w:val="right"/>
        <w:rPr>
          <w:rFonts w:ascii="Times New Roman" w:hAnsi="Times New Roman" w:eastAsia="黑体" w:cs="Times New Roman"/>
          <w:bCs/>
          <w:color w:val="auto"/>
          <w:sz w:val="28"/>
          <w:szCs w:val="28"/>
        </w:rPr>
      </w:pPr>
      <w:r>
        <w:rPr>
          <w:rFonts w:ascii="Times New Roman" w:hAnsi="Times New Roman" w:eastAsia="黑体" w:cs="Times New Roman"/>
          <w:bCs/>
          <w:color w:val="auto"/>
          <w:sz w:val="28"/>
          <w:szCs w:val="28"/>
        </w:rPr>
        <mc:AlternateContent>
          <mc:Choice Requires="wps">
            <w:drawing>
              <wp:anchor distT="0" distB="0" distL="114300" distR="114300" simplePos="0" relativeHeight="251661312" behindDoc="0" locked="0" layoutInCell="1" allowOverlap="1">
                <wp:simplePos x="0" y="0"/>
                <wp:positionH relativeFrom="column">
                  <wp:posOffset>-13335</wp:posOffset>
                </wp:positionH>
                <wp:positionV relativeFrom="paragraph">
                  <wp:posOffset>193675</wp:posOffset>
                </wp:positionV>
                <wp:extent cx="6172200" cy="0"/>
                <wp:effectExtent l="0" t="0" r="0" b="0"/>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flipH="1">
                          <a:off x="0" y="0"/>
                          <a:ext cx="617220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flip:x;margin-left:-1.05pt;margin-top:15.25pt;height:0pt;width:486pt;z-index:251661312;mso-width-relative:page;mso-height-relative:page;" filled="f" stroked="t" coordsize="21600,21600" o:gfxdata="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KwlW1wAA&#10;AAgBAAAPAAAAAAAAAAEAIAAAACIAAABkcnMvZG93bnJldi54bWxQSwECFAAUAAAACACHTuJAyL7F&#10;juYBAAC1AwAADgAAAAAAAAABACAAAAAmAQAAZHJzL2Uyb0RvYy54bWxQSwUGAAAAAAYABgBZAQAA&#10;fgUAAAAA&#10;">
                <v:fill on="f" focussize="0,0"/>
                <v:stroke weight="1pt" color="#000000" joinstyle="round"/>
                <v:imagedata o:title=""/>
                <o:lock v:ext="edit" aspectratio="f"/>
              </v:line>
            </w:pict>
          </mc:Fallback>
        </mc:AlternateContent>
      </w:r>
    </w:p>
    <w:p>
      <w:pPr>
        <w:jc w:val="center"/>
        <w:rPr>
          <w:rFonts w:ascii="Times New Roman" w:hAnsi="Times New Roman" w:eastAsia="黑体" w:cs="Times New Roman"/>
          <w:bCs/>
          <w:color w:val="auto"/>
          <w:sz w:val="48"/>
          <w:szCs w:val="28"/>
        </w:rPr>
      </w:pPr>
    </w:p>
    <w:p>
      <w:pPr>
        <w:jc w:val="center"/>
        <w:rPr>
          <w:rFonts w:ascii="Times New Roman" w:hAnsi="Times New Roman" w:eastAsia="黑体" w:cs="Times New Roman"/>
          <w:bCs/>
          <w:color w:val="auto"/>
          <w:sz w:val="48"/>
          <w:szCs w:val="28"/>
        </w:rPr>
      </w:pPr>
    </w:p>
    <w:p>
      <w:pPr>
        <w:jc w:val="center"/>
        <w:rPr>
          <w:rFonts w:ascii="Times New Roman" w:hAnsi="Times New Roman" w:eastAsia="黑体" w:cs="Times New Roman"/>
          <w:bCs/>
          <w:color w:val="auto"/>
          <w:sz w:val="52"/>
          <w:szCs w:val="52"/>
        </w:rPr>
      </w:pPr>
    </w:p>
    <w:p>
      <w:pPr>
        <w:spacing w:line="600" w:lineRule="exact"/>
        <w:jc w:val="center"/>
        <w:rPr>
          <w:rFonts w:ascii="黑体" w:hAnsi="Times New Roman" w:eastAsia="黑体" w:cs="Times New Roman"/>
          <w:color w:val="auto"/>
          <w:sz w:val="44"/>
          <w:szCs w:val="44"/>
        </w:rPr>
      </w:pPr>
      <w:r>
        <w:rPr>
          <w:rFonts w:hint="eastAsia" w:ascii="黑体" w:hAnsi="Times New Roman" w:eastAsia="黑体" w:cs="Times New Roman"/>
          <w:color w:val="auto"/>
          <w:sz w:val="44"/>
          <w:szCs w:val="44"/>
        </w:rPr>
        <w:t>应急广播广域双向通讯网传输技术规范</w:t>
      </w:r>
    </w:p>
    <w:p>
      <w:pPr>
        <w:spacing w:line="600" w:lineRule="exact"/>
        <w:jc w:val="center"/>
        <w:rPr>
          <w:rFonts w:ascii="黑体" w:hAnsi="Times New Roman" w:eastAsia="黑体" w:cs="Times New Roman"/>
          <w:color w:val="auto"/>
          <w:sz w:val="44"/>
          <w:szCs w:val="44"/>
        </w:rPr>
      </w:pPr>
      <w:r>
        <w:rPr>
          <w:rFonts w:hint="eastAsia" w:ascii="黑体" w:hAnsi="Times New Roman" w:eastAsia="黑体" w:cs="Times New Roman"/>
          <w:color w:val="auto"/>
          <w:sz w:val="44"/>
          <w:szCs w:val="44"/>
        </w:rPr>
        <w:t>第2部分：应急信息接入</w:t>
      </w:r>
    </w:p>
    <w:p>
      <w:pPr>
        <w:spacing w:line="600" w:lineRule="exact"/>
        <w:jc w:val="center"/>
        <w:rPr>
          <w:rFonts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 xml:space="preserve">Technical specification for wide area bidirectional communication network of emergency broadcasting </w:t>
      </w:r>
    </w:p>
    <w:p>
      <w:pPr>
        <w:spacing w:line="600" w:lineRule="exact"/>
        <w:jc w:val="center"/>
        <w:rPr>
          <w:rFonts w:ascii="Times New Roman" w:hAnsi="Times New Roman" w:eastAsia="黑体" w:cs="Times New Roman"/>
          <w:color w:val="auto"/>
          <w:sz w:val="30"/>
          <w:szCs w:val="30"/>
        </w:rPr>
      </w:pPr>
      <w:r>
        <w:rPr>
          <w:rFonts w:hint="eastAsia" w:ascii="Times New Roman" w:hAnsi="Times New Roman" w:eastAsia="黑体" w:cs="Times New Roman"/>
          <w:color w:val="auto"/>
          <w:sz w:val="30"/>
          <w:szCs w:val="30"/>
        </w:rPr>
        <w:t>Part II : Emergency Information Access</w:t>
      </w:r>
    </w:p>
    <w:p>
      <w:pPr>
        <w:spacing w:line="600" w:lineRule="exact"/>
        <w:jc w:val="center"/>
        <w:rPr>
          <w:rFonts w:ascii="Times New Roman" w:hAnsi="Times New Roman" w:eastAsia="黑体" w:cs="Times New Roman"/>
          <w:bCs/>
          <w:color w:val="auto"/>
          <w:sz w:val="48"/>
          <w:szCs w:val="28"/>
        </w:rPr>
      </w:pPr>
      <w:r>
        <w:rPr>
          <w:rFonts w:hint="eastAsia" w:ascii="宋体" w:hAnsi="宋体" w:eastAsia="宋体" w:cs="Times New Roman"/>
          <w:color w:val="auto"/>
          <w:sz w:val="44"/>
          <w:szCs w:val="44"/>
        </w:rPr>
        <w:t>（征求意见稿）</w:t>
      </w:r>
    </w:p>
    <w:p>
      <w:pPr>
        <w:jc w:val="center"/>
        <w:rPr>
          <w:rFonts w:ascii="宋体" w:hAnsi="宋体" w:eastAsia="宋体" w:cs="Times New Roman"/>
          <w:bCs/>
          <w:color w:val="auto"/>
          <w:sz w:val="28"/>
          <w:szCs w:val="28"/>
        </w:rPr>
      </w:pPr>
    </w:p>
    <w:p>
      <w:pPr>
        <w:spacing w:line="600" w:lineRule="exact"/>
        <w:jc w:val="center"/>
        <w:rPr>
          <w:rFonts w:ascii="宋体" w:hAnsi="宋体" w:eastAsia="宋体" w:cs="Times New Roman"/>
          <w:bCs/>
          <w:color w:val="auto"/>
          <w:sz w:val="28"/>
          <w:szCs w:val="28"/>
        </w:rPr>
      </w:pPr>
    </w:p>
    <w:p>
      <w:pPr>
        <w:spacing w:line="600" w:lineRule="exact"/>
        <w:jc w:val="center"/>
        <w:rPr>
          <w:rFonts w:ascii="宋体" w:hAnsi="宋体" w:eastAsia="宋体" w:cs="Times New Roman"/>
          <w:bCs/>
          <w:color w:val="auto"/>
          <w:sz w:val="28"/>
          <w:szCs w:val="28"/>
        </w:rPr>
      </w:pPr>
    </w:p>
    <w:p>
      <w:pPr>
        <w:rPr>
          <w:rFonts w:ascii="宋体" w:hAnsi="宋体" w:eastAsia="宋体" w:cs="Times New Roman"/>
          <w:bCs/>
          <w:color w:val="auto"/>
          <w:sz w:val="28"/>
          <w:szCs w:val="28"/>
        </w:rPr>
      </w:pPr>
    </w:p>
    <w:p>
      <w:pPr>
        <w:jc w:val="center"/>
        <w:rPr>
          <w:rFonts w:ascii="宋体" w:hAnsi="宋体" w:eastAsia="宋体" w:cs="Times New Roman"/>
          <w:bCs/>
          <w:color w:val="auto"/>
          <w:sz w:val="28"/>
          <w:szCs w:val="28"/>
        </w:rPr>
      </w:pPr>
    </w:p>
    <w:p>
      <w:pPr>
        <w:rPr>
          <w:rFonts w:ascii="宋体" w:hAnsi="宋体" w:eastAsia="宋体" w:cs="Times New Roman"/>
          <w:bCs/>
          <w:color w:val="auto"/>
          <w:sz w:val="28"/>
          <w:szCs w:val="28"/>
        </w:rPr>
      </w:pPr>
    </w:p>
    <w:p>
      <w:pPr>
        <w:rPr>
          <w:rFonts w:ascii="宋体" w:hAnsi="宋体" w:eastAsia="宋体" w:cs="Times New Roman"/>
          <w:bCs/>
          <w:color w:val="auto"/>
          <w:sz w:val="28"/>
          <w:szCs w:val="28"/>
        </w:rPr>
      </w:pPr>
    </w:p>
    <w:p>
      <w:pPr>
        <w:jc w:val="center"/>
        <w:rPr>
          <w:rFonts w:ascii="宋体" w:hAnsi="宋体" w:eastAsia="宋体" w:cs="Times New Roman"/>
          <w:bCs/>
          <w:color w:val="auto"/>
          <w:sz w:val="28"/>
          <w:szCs w:val="28"/>
        </w:rPr>
      </w:pPr>
    </w:p>
    <w:p>
      <w:pPr>
        <w:jc w:val="center"/>
        <w:rPr>
          <w:rFonts w:ascii="宋体" w:hAnsi="宋体" w:eastAsia="宋体" w:cs="Times New Roman"/>
          <w:bCs/>
          <w:color w:val="auto"/>
          <w:sz w:val="28"/>
          <w:szCs w:val="28"/>
        </w:rPr>
      </w:pPr>
    </w:p>
    <w:p>
      <w:pPr>
        <w:jc w:val="center"/>
        <w:rPr>
          <w:rFonts w:ascii="宋体" w:hAnsi="宋体" w:eastAsia="宋体" w:cs="Times New Roman"/>
          <w:bCs/>
          <w:color w:val="auto"/>
          <w:sz w:val="28"/>
          <w:szCs w:val="28"/>
        </w:rPr>
      </w:pPr>
    </w:p>
    <w:p>
      <w:pPr>
        <w:spacing w:line="600" w:lineRule="exact"/>
        <w:rPr>
          <w:rFonts w:ascii="黑体" w:hAnsi="宋体" w:eastAsia="黑体" w:cs="Times New Roman"/>
          <w:bCs/>
          <w:color w:val="auto"/>
          <w:sz w:val="32"/>
          <w:szCs w:val="32"/>
        </w:rPr>
      </w:pPr>
      <w:r>
        <w:rPr>
          <w:rFonts w:hint="eastAsia" w:ascii="黑体" w:hAnsi="宋体" w:eastAsia="黑体" w:cs="Times New Roman"/>
          <w:bCs/>
          <w:color w:val="auto"/>
          <w:sz w:val="32"/>
          <w:szCs w:val="32"/>
        </w:rPr>
        <w:t>20</w:t>
      </w:r>
      <w:r>
        <w:rPr>
          <w:rFonts w:ascii="黑体" w:hAnsi="宋体" w:eastAsia="黑体" w:cs="Times New Roman"/>
          <w:bCs/>
          <w:color w:val="auto"/>
          <w:sz w:val="32"/>
          <w:szCs w:val="32"/>
        </w:rPr>
        <w:t>2</w:t>
      </w:r>
      <w:r>
        <w:rPr>
          <w:rFonts w:hint="eastAsia" w:ascii="黑体" w:hAnsi="宋体" w:eastAsia="黑体" w:cs="Times New Roman"/>
          <w:bCs/>
          <w:color w:val="auto"/>
          <w:sz w:val="32"/>
          <w:szCs w:val="32"/>
        </w:rPr>
        <w:t>2-XX-XX发布</w:t>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 xml:space="preserve">      </w:t>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ab/>
      </w:r>
      <w:r>
        <w:rPr>
          <w:rFonts w:hint="eastAsia" w:ascii="黑体" w:hAnsi="宋体" w:eastAsia="黑体" w:cs="Times New Roman"/>
          <w:bCs/>
          <w:color w:val="auto"/>
          <w:sz w:val="32"/>
          <w:szCs w:val="32"/>
        </w:rPr>
        <w:t>20</w:t>
      </w:r>
      <w:r>
        <w:rPr>
          <w:rFonts w:ascii="黑体" w:hAnsi="宋体" w:eastAsia="黑体" w:cs="Times New Roman"/>
          <w:bCs/>
          <w:color w:val="auto"/>
          <w:sz w:val="32"/>
          <w:szCs w:val="32"/>
        </w:rPr>
        <w:t>2</w:t>
      </w:r>
      <w:r>
        <w:rPr>
          <w:rFonts w:hint="eastAsia" w:ascii="黑体" w:hAnsi="宋体" w:eastAsia="黑体" w:cs="Times New Roman"/>
          <w:bCs/>
          <w:color w:val="auto"/>
          <w:sz w:val="32"/>
          <w:szCs w:val="32"/>
        </w:rPr>
        <w:t>2-XX-XX实施</w:t>
      </w:r>
    </w:p>
    <w:p>
      <w:pPr>
        <w:rPr>
          <w:rFonts w:ascii="宋体" w:hAnsi="宋体" w:eastAsia="宋体" w:cs="Times New Roman"/>
          <w:bCs/>
          <w:color w:val="auto"/>
          <w:sz w:val="32"/>
          <w:szCs w:val="32"/>
        </w:rPr>
      </w:pPr>
      <w:r>
        <w:rPr>
          <w:rFonts w:ascii="Times New Roman" w:hAnsi="Times New Roman" w:eastAsia="黑体" w:cs="Times New Roman"/>
          <w:bCs/>
          <w:color w:val="auto"/>
          <w:sz w:val="28"/>
          <w:szCs w:val="28"/>
        </w:rPr>
        <mc:AlternateContent>
          <mc:Choice Requires="wps">
            <w:drawing>
              <wp:anchor distT="0" distB="0" distL="114300" distR="114300" simplePos="0" relativeHeight="251662336" behindDoc="0" locked="0" layoutInCell="1" allowOverlap="1">
                <wp:simplePos x="0" y="0"/>
                <wp:positionH relativeFrom="column">
                  <wp:posOffset>-9525</wp:posOffset>
                </wp:positionH>
                <wp:positionV relativeFrom="paragraph">
                  <wp:posOffset>34925</wp:posOffset>
                </wp:positionV>
                <wp:extent cx="605790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flipH="1">
                          <a:off x="0" y="0"/>
                          <a:ext cx="6057900" cy="0"/>
                        </a:xfrm>
                        <a:prstGeom prst="line">
                          <a:avLst/>
                        </a:prstGeom>
                        <a:noFill/>
                        <a:ln w="12700">
                          <a:solidFill>
                            <a:srgbClr val="000000"/>
                          </a:solidFill>
                          <a:round/>
                        </a:ln>
                      </wps:spPr>
                      <wps:bodyPr/>
                    </wps:wsp>
                  </a:graphicData>
                </a:graphic>
              </wp:anchor>
            </w:drawing>
          </mc:Choice>
          <mc:Fallback>
            <w:pict>
              <v:line id="_x0000_s1026" o:spid="_x0000_s1026" o:spt="20" style="position:absolute;left:0pt;flip:x;margin-left:-0.75pt;margin-top:2.75pt;height:0pt;width:477pt;z-index:251662336;mso-width-relative:page;mso-height-relative:page;" filled="f" stroked="t" coordsize="21600,21600" o:gfxdata="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cRRoG1AAA&#10;AAYBAAAPAAAAAAAAAAEAIAAAACIAAABkcnMvZG93bnJldi54bWxQSwECFAAUAAAACACHTuJAYhCd&#10;LOkBAAC1AwAADgAAAAAAAAABACAAAAAjAQAAZHJzL2Uyb0RvYy54bWxQSwUGAAAAAAYABgBZAQAA&#10;fgUAAAAA&#10;">
                <v:fill on="f" focussize="0,0"/>
                <v:stroke weight="1pt" color="#000000" joinstyle="round"/>
                <v:imagedata o:title=""/>
                <o:lock v:ext="edit" aspectratio="f"/>
              </v:line>
            </w:pict>
          </mc:Fallback>
        </mc:AlternateContent>
      </w:r>
    </w:p>
    <w:p>
      <w:pPr>
        <w:spacing w:line="600" w:lineRule="exact"/>
        <w:jc w:val="center"/>
        <w:rPr>
          <w:rFonts w:ascii="黑体" w:hAnsi="宋体" w:eastAsia="黑体" w:cs="Times New Roman"/>
          <w:bCs/>
          <w:color w:val="auto"/>
          <w:sz w:val="32"/>
          <w:szCs w:val="32"/>
        </w:rPr>
        <w:sectPr>
          <w:headerReference r:id="rId4" w:type="first"/>
          <w:footerReference r:id="rId5" w:type="default"/>
          <w:headerReference r:id="rId3" w:type="even"/>
          <w:footerReference r:id="rId6" w:type="even"/>
          <w:pgSz w:w="11907" w:h="16840"/>
          <w:pgMar w:top="1134" w:right="1134" w:bottom="1134" w:left="1134" w:header="851" w:footer="992" w:gutter="0"/>
          <w:pgNumType w:fmt="upperRoman" w:start="1"/>
          <w:cols w:space="720" w:num="1"/>
          <w:titlePg/>
          <w:docGrid w:linePitch="312" w:charSpace="0"/>
        </w:sectPr>
      </w:pPr>
      <w:r>
        <w:rPr>
          <w:rFonts w:hint="eastAsia" w:ascii="黑体" w:hAnsi="宋体" w:eastAsia="黑体" w:cs="Times New Roman"/>
          <w:bCs/>
          <w:color w:val="auto"/>
          <w:spacing w:val="30"/>
          <w:w w:val="130"/>
          <w:sz w:val="40"/>
          <w:szCs w:val="44"/>
        </w:rPr>
        <w:t>湖南省市场监督管理局</w:t>
      </w:r>
      <w:r>
        <w:rPr>
          <w:rFonts w:hint="eastAsia" w:ascii="黑体" w:hAnsi="宋体" w:eastAsia="黑体" w:cs="Times New Roman"/>
          <w:bCs/>
          <w:color w:val="auto"/>
          <w:sz w:val="32"/>
          <w:szCs w:val="32"/>
        </w:rPr>
        <w:t xml:space="preserve">   发布</w:t>
      </w:r>
    </w:p>
    <w:p>
      <w:pPr>
        <w:pStyle w:val="13"/>
        <w:tabs>
          <w:tab w:val="right" w:leader="dot" w:pos="9241"/>
        </w:tabs>
        <w:spacing w:before="0" w:after="0" w:line="240" w:lineRule="auto"/>
        <w:rPr>
          <w:rFonts w:ascii="Times New Roman" w:hAnsi="Times New Roman" w:cs="Times New Roman"/>
          <w:color w:val="auto"/>
        </w:rPr>
      </w:pPr>
      <w:bookmarkStart w:id="0" w:name="_Toc1243462894"/>
      <w:bookmarkStart w:id="1" w:name="_Toc1730602729"/>
      <w:bookmarkStart w:id="2" w:name="_Toc117593807"/>
      <w:r>
        <w:rPr>
          <w:rFonts w:hint="eastAsia"/>
          <w:color w:val="auto"/>
        </w:rPr>
        <w:t>目</w:t>
      </w:r>
      <w:bookmarkStart w:id="3" w:name="BKML"/>
      <w:r>
        <w:rPr>
          <w:rFonts w:hint="eastAsia" w:ascii="MS Mincho" w:hAnsi="MS Mincho" w:eastAsia="MS Mincho" w:cs="MS Mincho"/>
          <w:color w:val="auto"/>
        </w:rPr>
        <w:t>  </w:t>
      </w:r>
      <w:r>
        <w:rPr>
          <w:rFonts w:hint="eastAsia"/>
          <w:color w:val="auto"/>
        </w:rPr>
        <w:t>次</w:t>
      </w:r>
      <w:bookmarkEnd w:id="0"/>
      <w:bookmarkEnd w:id="1"/>
      <w:bookmarkEnd w:id="2"/>
      <w:bookmarkEnd w:id="3"/>
      <w:r>
        <w:rPr>
          <w:rFonts w:ascii="Times New Roman" w:hAnsi="Times New Roman" w:cs="Times New Roman"/>
          <w:color w:val="auto"/>
          <w:sz w:val="24"/>
          <w:szCs w:val="24"/>
        </w:rPr>
        <w:fldChar w:fldCharType="begin"/>
      </w:r>
      <w:r>
        <w:rPr>
          <w:rFonts w:ascii="Times New Roman" w:hAnsi="Times New Roman" w:cs="Times New Roman"/>
          <w:color w:val="auto"/>
          <w:sz w:val="24"/>
          <w:szCs w:val="24"/>
        </w:rPr>
        <w:instrText xml:space="preserve"> TOC \o "1-3" \h \z \u </w:instrText>
      </w:r>
      <w:r>
        <w:rPr>
          <w:rFonts w:ascii="Times New Roman" w:hAnsi="Times New Roman" w:cs="Times New Roman"/>
          <w:color w:val="auto"/>
          <w:sz w:val="24"/>
          <w:szCs w:val="24"/>
        </w:rPr>
        <w:fldChar w:fldCharType="separate"/>
      </w:r>
    </w:p>
    <w:p>
      <w:pPr>
        <w:pStyle w:val="6"/>
        <w:rPr>
          <w:rFonts w:ascii="Times New Roman" w:hAnsi="Times New Roman" w:eastAsia="宋体" w:cs="Times New Roman"/>
          <w:color w:val="auto"/>
          <w:szCs w:val="22"/>
        </w:rPr>
      </w:pPr>
      <w:r>
        <w:rPr>
          <w:color w:val="auto"/>
        </w:rPr>
        <w:fldChar w:fldCharType="begin"/>
      </w:r>
      <w:r>
        <w:rPr>
          <w:color w:val="auto"/>
        </w:rPr>
        <w:instrText xml:space="preserve"> HYPERLINK \l "_Toc117593808" </w:instrText>
      </w:r>
      <w:r>
        <w:rPr>
          <w:color w:val="auto"/>
        </w:rPr>
        <w:fldChar w:fldCharType="separate"/>
      </w:r>
      <w:r>
        <w:rPr>
          <w:rStyle w:val="12"/>
          <w:rFonts w:ascii="Times New Roman" w:hAnsi="Times New Roman" w:eastAsia="宋体" w:cs="Times New Roman"/>
          <w:color w:val="auto"/>
        </w:rPr>
        <w:t>前言</w:t>
      </w:r>
      <w:r>
        <w:rPr>
          <w:rFonts w:ascii="Times New Roman" w:hAnsi="Times New Roman" w:eastAsia="宋体" w:cs="Times New Roman"/>
          <w:color w:val="auto"/>
        </w:rPr>
        <w:tab/>
      </w:r>
      <w:r>
        <w:rPr>
          <w:rFonts w:ascii="Times New Roman" w:hAnsi="Times New Roman" w:eastAsia="宋体" w:cs="Times New Roman"/>
          <w:color w:val="auto"/>
        </w:rPr>
        <w:fldChar w:fldCharType="begin"/>
      </w:r>
      <w:r>
        <w:rPr>
          <w:rFonts w:ascii="Times New Roman" w:hAnsi="Times New Roman" w:eastAsia="宋体" w:cs="Times New Roman"/>
          <w:color w:val="auto"/>
        </w:rPr>
        <w:instrText xml:space="preserve"> PAGEREF _Toc117593808 \h </w:instrText>
      </w:r>
      <w:r>
        <w:rPr>
          <w:rFonts w:ascii="Times New Roman" w:hAnsi="Times New Roman" w:eastAsia="宋体" w:cs="Times New Roman"/>
          <w:color w:val="auto"/>
        </w:rPr>
        <w:fldChar w:fldCharType="separate"/>
      </w:r>
      <w:r>
        <w:rPr>
          <w:rFonts w:ascii="Times New Roman" w:hAnsi="Times New Roman" w:eastAsia="宋体" w:cs="Times New Roman"/>
          <w:color w:val="auto"/>
        </w:rPr>
        <w:t>II</w:t>
      </w:r>
      <w:r>
        <w:rPr>
          <w:rFonts w:ascii="Times New Roman" w:hAnsi="Times New Roman" w:eastAsia="宋体" w:cs="Times New Roman"/>
          <w:color w:val="auto"/>
        </w:rPr>
        <w:fldChar w:fldCharType="end"/>
      </w:r>
      <w:r>
        <w:rPr>
          <w:rFonts w:ascii="Times New Roman" w:hAnsi="Times New Roman" w:eastAsia="宋体"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"_Toc117593809" </w:instrText>
      </w:r>
      <w:r>
        <w:rPr>
          <w:color w:val="auto"/>
        </w:rPr>
        <w:fldChar w:fldCharType="separate"/>
      </w:r>
      <w:r>
        <w:rPr>
          <w:rStyle w:val="12"/>
          <w:rFonts w:ascii="Times New Roman" w:hAnsi="Times New Roman" w:cs="Times New Roman"/>
          <w:color w:val="auto"/>
        </w:rPr>
        <w:t>1 范围</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_Toc117593809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"_Toc117593810" </w:instrText>
      </w:r>
      <w:r>
        <w:rPr>
          <w:color w:val="auto"/>
        </w:rPr>
        <w:fldChar w:fldCharType="separate"/>
      </w:r>
      <w:r>
        <w:rPr>
          <w:rStyle w:val="12"/>
          <w:rFonts w:ascii="Times New Roman" w:hAnsi="Times New Roman" w:cs="Times New Roman"/>
          <w:color w:val="auto"/>
        </w:rPr>
        <w:t>2 规范性引用文件</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_Toc117593810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"_Toc117593811" </w:instrText>
      </w:r>
      <w:r>
        <w:rPr>
          <w:color w:val="auto"/>
        </w:rPr>
        <w:fldChar w:fldCharType="separate"/>
      </w:r>
      <w:r>
        <w:rPr>
          <w:rStyle w:val="12"/>
          <w:rFonts w:ascii="Times New Roman" w:hAnsi="Times New Roman" w:cs="Times New Roman"/>
          <w:color w:val="auto"/>
        </w:rPr>
        <w:t>3 术语和定义</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_Toc117593811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"_Toc117593812" </w:instrText>
      </w:r>
      <w:r>
        <w:rPr>
          <w:color w:val="auto"/>
        </w:rPr>
        <w:fldChar w:fldCharType="separate"/>
      </w:r>
      <w:r>
        <w:rPr>
          <w:rStyle w:val="12"/>
          <w:rFonts w:ascii="Times New Roman" w:hAnsi="Times New Roman" w:cs="Times New Roman"/>
          <w:color w:val="auto"/>
        </w:rPr>
        <w:t>3.1</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_Toc117593812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"_Toc117593813" </w:instrText>
      </w:r>
      <w:r>
        <w:rPr>
          <w:color w:val="auto"/>
        </w:rPr>
        <w:fldChar w:fldCharType="separate"/>
      </w:r>
      <w:r>
        <w:rPr>
          <w:rStyle w:val="12"/>
          <w:rFonts w:ascii="Times New Roman" w:hAnsi="Times New Roman" w:cs="Times New Roman"/>
          <w:color w:val="auto"/>
        </w:rPr>
        <w:t>4 接入通用要求</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_Toc117593813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"_Toc117593814" </w:instrText>
      </w:r>
      <w:r>
        <w:rPr>
          <w:color w:val="auto"/>
        </w:rPr>
        <w:fldChar w:fldCharType="separate"/>
      </w:r>
      <w:r>
        <w:rPr>
          <w:rStyle w:val="12"/>
          <w:rFonts w:ascii="Times New Roman" w:hAnsi="Times New Roman" w:cs="Times New Roman"/>
          <w:color w:val="auto"/>
        </w:rPr>
        <w:t>4.1 接入网络拓扑图</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_Toc117593814 \h </w:instrText>
      </w:r>
      <w:r>
        <w:rPr>
          <w:rFonts w:ascii="Times New Roman" w:hAnsi="Times New Roman" w:cs="Times New Roman"/>
          <w:color w:val="auto"/>
        </w:rPr>
        <w:fldChar w:fldCharType="separate"/>
      </w:r>
      <w:r>
        <w:rPr>
          <w:rFonts w:ascii="Times New Roman" w:hAnsi="Times New Roman" w:cs="Times New Roman"/>
          <w:color w:val="auto"/>
        </w:rPr>
        <w:t>1</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"_Toc117593815" </w:instrText>
      </w:r>
      <w:r>
        <w:rPr>
          <w:color w:val="auto"/>
        </w:rPr>
        <w:fldChar w:fldCharType="separate"/>
      </w:r>
      <w:r>
        <w:rPr>
          <w:rStyle w:val="12"/>
          <w:rFonts w:ascii="Times New Roman" w:hAnsi="Times New Roman" w:cs="Times New Roman"/>
          <w:color w:val="auto"/>
        </w:rPr>
        <w:t>4.2 接入信息分类</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_Toc117593815 \h </w:instrText>
      </w:r>
      <w:r>
        <w:rPr>
          <w:rFonts w:ascii="Times New Roman" w:hAnsi="Times New Roman" w:cs="Times New Roman"/>
          <w:color w:val="auto"/>
        </w:rPr>
        <w:fldChar w:fldCharType="separate"/>
      </w:r>
      <w:r>
        <w:rPr>
          <w:rFonts w:ascii="Times New Roman" w:hAnsi="Times New Roman" w:cs="Times New Roman"/>
          <w:color w:val="auto"/>
        </w:rPr>
        <w:t>2</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"_Toc117593816" </w:instrText>
      </w:r>
      <w:r>
        <w:rPr>
          <w:color w:val="auto"/>
        </w:rPr>
        <w:fldChar w:fldCharType="separate"/>
      </w:r>
      <w:r>
        <w:rPr>
          <w:rStyle w:val="12"/>
          <w:rFonts w:ascii="Times New Roman" w:hAnsi="Times New Roman" w:cs="Times New Roman"/>
          <w:color w:val="auto"/>
        </w:rPr>
        <w:t>4.3 信息接入要求</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_Toc117593816 \h </w:instrText>
      </w:r>
      <w:r>
        <w:rPr>
          <w:rFonts w:ascii="Times New Roman" w:hAnsi="Times New Roman" w:cs="Times New Roman"/>
          <w:color w:val="auto"/>
        </w:rPr>
        <w:fldChar w:fldCharType="separate"/>
      </w:r>
      <w:r>
        <w:rPr>
          <w:rFonts w:ascii="Times New Roman" w:hAnsi="Times New Roman" w:cs="Times New Roman"/>
          <w:color w:val="auto"/>
        </w:rPr>
        <w:t>2</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"_Toc117593817" </w:instrText>
      </w:r>
      <w:r>
        <w:rPr>
          <w:color w:val="auto"/>
        </w:rPr>
        <w:fldChar w:fldCharType="separate"/>
      </w:r>
      <w:r>
        <w:rPr>
          <w:rStyle w:val="12"/>
          <w:rFonts w:ascii="Times New Roman" w:hAnsi="Times New Roman" w:cs="Times New Roman"/>
          <w:color w:val="auto"/>
        </w:rPr>
        <w:t>4.4 信息接入内容要素要求</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_Toc117593817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"_Toc117593818" </w:instrText>
      </w:r>
      <w:r>
        <w:rPr>
          <w:color w:val="auto"/>
        </w:rPr>
        <w:fldChar w:fldCharType="separate"/>
      </w:r>
      <w:r>
        <w:rPr>
          <w:rStyle w:val="12"/>
          <w:rFonts w:ascii="Times New Roman" w:hAnsi="Times New Roman" w:cs="Times New Roman"/>
          <w:color w:val="auto"/>
        </w:rPr>
        <w:t>5 应急广播平台信息接入</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_Toc117593818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"_Toc117593819" </w:instrText>
      </w:r>
      <w:r>
        <w:rPr>
          <w:color w:val="auto"/>
        </w:rPr>
        <w:fldChar w:fldCharType="separate"/>
      </w:r>
      <w:r>
        <w:rPr>
          <w:rStyle w:val="12"/>
          <w:rFonts w:ascii="Times New Roman" w:hAnsi="Times New Roman" w:cs="Times New Roman"/>
          <w:color w:val="auto"/>
        </w:rPr>
        <w:t>5.1 接入规范</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_Toc117593819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"_Toc117593820" </w:instrText>
      </w:r>
      <w:r>
        <w:rPr>
          <w:color w:val="auto"/>
        </w:rPr>
        <w:fldChar w:fldCharType="separate"/>
      </w:r>
      <w:r>
        <w:rPr>
          <w:rStyle w:val="12"/>
          <w:rFonts w:ascii="Times New Roman" w:hAnsi="Times New Roman" w:cs="Times New Roman"/>
          <w:color w:val="auto"/>
        </w:rPr>
        <w:t>6 应急广播终端信息接入</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_Toc117593820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"_Toc117593821" </w:instrText>
      </w:r>
      <w:r>
        <w:rPr>
          <w:color w:val="auto"/>
        </w:rPr>
        <w:fldChar w:fldCharType="separate"/>
      </w:r>
      <w:r>
        <w:rPr>
          <w:rStyle w:val="12"/>
          <w:rFonts w:ascii="Times New Roman" w:hAnsi="Times New Roman" w:cs="Times New Roman"/>
          <w:color w:val="auto"/>
        </w:rPr>
        <w:t>6.1 接入要求</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_Toc117593821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"_Toc117593822" </w:instrText>
      </w:r>
      <w:r>
        <w:rPr>
          <w:color w:val="auto"/>
        </w:rPr>
        <w:fldChar w:fldCharType="separate"/>
      </w:r>
      <w:r>
        <w:rPr>
          <w:rStyle w:val="12"/>
          <w:rFonts w:ascii="Times New Roman" w:hAnsi="Times New Roman" w:cs="Times New Roman"/>
          <w:color w:val="auto"/>
        </w:rPr>
        <w:t>6.2 接入流程</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_Toc117593822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"_Toc117593823" </w:instrText>
      </w:r>
      <w:r>
        <w:rPr>
          <w:color w:val="auto"/>
        </w:rPr>
        <w:fldChar w:fldCharType="separate"/>
      </w:r>
      <w:r>
        <w:rPr>
          <w:rStyle w:val="12"/>
          <w:rFonts w:ascii="Times New Roman" w:hAnsi="Times New Roman" w:cs="Times New Roman"/>
          <w:color w:val="auto"/>
        </w:rPr>
        <w:t>6.3 接入后管理</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_Toc117593823 \h </w:instrText>
      </w:r>
      <w:r>
        <w:rPr>
          <w:rFonts w:ascii="Times New Roman" w:hAnsi="Times New Roman" w:cs="Times New Roman"/>
          <w:color w:val="auto"/>
        </w:rPr>
        <w:fldChar w:fldCharType="separate"/>
      </w:r>
      <w:r>
        <w:rPr>
          <w:rFonts w:ascii="Times New Roman" w:hAnsi="Times New Roman" w:cs="Times New Roman"/>
          <w:color w:val="auto"/>
        </w:rPr>
        <w:t>3</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"_Toc117593824" </w:instrText>
      </w:r>
      <w:r>
        <w:rPr>
          <w:color w:val="auto"/>
        </w:rPr>
        <w:fldChar w:fldCharType="separate"/>
      </w:r>
      <w:r>
        <w:rPr>
          <w:rStyle w:val="12"/>
          <w:rFonts w:ascii="Times New Roman" w:hAnsi="Times New Roman" w:cs="Times New Roman"/>
          <w:color w:val="auto"/>
        </w:rPr>
        <w:t>7 应急信息接入格式</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_Toc117593824 \h </w:instrText>
      </w:r>
      <w:r>
        <w:rPr>
          <w:rFonts w:ascii="Times New Roman" w:hAnsi="Times New Roman" w:cs="Times New Roman"/>
          <w:color w:val="auto"/>
        </w:rPr>
        <w:fldChar w:fldCharType="separate"/>
      </w:r>
      <w:r>
        <w:rPr>
          <w:rFonts w:ascii="Times New Roman" w:hAnsi="Times New Roman" w:cs="Times New Roman"/>
          <w:color w:val="auto"/>
        </w:rPr>
        <w:t>4</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"_Toc117593825" </w:instrText>
      </w:r>
      <w:r>
        <w:rPr>
          <w:color w:val="auto"/>
        </w:rPr>
        <w:fldChar w:fldCharType="separate"/>
      </w:r>
      <w:r>
        <w:rPr>
          <w:rStyle w:val="12"/>
          <w:rFonts w:ascii="Times New Roman" w:hAnsi="Times New Roman" w:cs="Times New Roman"/>
          <w:color w:val="auto"/>
        </w:rPr>
        <w:t>附 录 A</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_Toc117593825 \h </w:instrText>
      </w:r>
      <w:r>
        <w:rPr>
          <w:rFonts w:ascii="Times New Roman" w:hAnsi="Times New Roman" w:cs="Times New Roman"/>
          <w:color w:val="auto"/>
        </w:rPr>
        <w:fldChar w:fldCharType="separate"/>
      </w:r>
      <w:r>
        <w:rPr>
          <w:rFonts w:ascii="Times New Roman" w:hAnsi="Times New Roman" w:cs="Times New Roman"/>
          <w:color w:val="auto"/>
        </w:rPr>
        <w:t>5</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7"/>
        <w:rPr>
          <w:rFonts w:ascii="Times New Roman" w:hAnsi="Times New Roman" w:cs="Times New Roman"/>
          <w:color w:val="auto"/>
          <w:szCs w:val="22"/>
        </w:rPr>
      </w:pPr>
      <w:r>
        <w:rPr>
          <w:color w:val="auto"/>
        </w:rPr>
        <w:fldChar w:fldCharType="begin"/>
      </w:r>
      <w:r>
        <w:rPr>
          <w:color w:val="auto"/>
        </w:rPr>
        <w:instrText xml:space="preserve"> HYPERLINK \l "_Toc117593826" </w:instrText>
      </w:r>
      <w:r>
        <w:rPr>
          <w:color w:val="auto"/>
        </w:rPr>
        <w:fldChar w:fldCharType="separate"/>
      </w:r>
      <w:r>
        <w:rPr>
          <w:rStyle w:val="12"/>
          <w:rFonts w:ascii="Times New Roman" w:hAnsi="Times New Roman" w:cs="Times New Roman"/>
          <w:color w:val="auto"/>
        </w:rPr>
        <w:t>（规范性）</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_Toc117593826 \h </w:instrText>
      </w:r>
      <w:r>
        <w:rPr>
          <w:rFonts w:ascii="Times New Roman" w:hAnsi="Times New Roman" w:cs="Times New Roman"/>
          <w:color w:val="auto"/>
        </w:rPr>
        <w:fldChar w:fldCharType="separate"/>
      </w:r>
      <w:r>
        <w:rPr>
          <w:rFonts w:ascii="Times New Roman" w:hAnsi="Times New Roman" w:cs="Times New Roman"/>
          <w:color w:val="auto"/>
        </w:rPr>
        <w:t>5</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"_Toc117593827" </w:instrText>
      </w:r>
      <w:r>
        <w:rPr>
          <w:color w:val="auto"/>
        </w:rPr>
        <w:fldChar w:fldCharType="separate"/>
      </w:r>
      <w:r>
        <w:rPr>
          <w:rStyle w:val="12"/>
          <w:rFonts w:ascii="Times New Roman" w:hAnsi="Times New Roman" w:cs="Times New Roman"/>
          <w:color w:val="auto"/>
        </w:rPr>
        <w:t>A. 1 应急广播平台信息TAR文件</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_Toc117593827 \h </w:instrText>
      </w:r>
      <w:r>
        <w:rPr>
          <w:rFonts w:ascii="Times New Roman" w:hAnsi="Times New Roman" w:cs="Times New Roman"/>
          <w:color w:val="auto"/>
        </w:rPr>
        <w:fldChar w:fldCharType="separate"/>
      </w:r>
      <w:r>
        <w:rPr>
          <w:rFonts w:ascii="Times New Roman" w:hAnsi="Times New Roman" w:cs="Times New Roman"/>
          <w:color w:val="auto"/>
        </w:rPr>
        <w:t>5</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"_Toc117593828" </w:instrText>
      </w:r>
      <w:r>
        <w:rPr>
          <w:color w:val="auto"/>
        </w:rPr>
        <w:fldChar w:fldCharType="separate"/>
      </w:r>
      <w:r>
        <w:rPr>
          <w:rStyle w:val="12"/>
          <w:rFonts w:ascii="Times New Roman" w:hAnsi="Times New Roman" w:cs="Times New Roman"/>
          <w:color w:val="auto"/>
        </w:rPr>
        <w:t>A. 2 应急广播平台状态TAR文件</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_Toc117593828 \h </w:instrText>
      </w:r>
      <w:r>
        <w:rPr>
          <w:rFonts w:ascii="Times New Roman" w:hAnsi="Times New Roman" w:cs="Times New Roman"/>
          <w:color w:val="auto"/>
        </w:rPr>
        <w:fldChar w:fldCharType="separate"/>
      </w:r>
      <w:r>
        <w:rPr>
          <w:rFonts w:ascii="Times New Roman" w:hAnsi="Times New Roman" w:cs="Times New Roman"/>
          <w:color w:val="auto"/>
        </w:rPr>
        <w:t>6</w:t>
      </w:r>
      <w:r>
        <w:rPr>
          <w:rFonts w:ascii="Times New Roman" w:hAnsi="Times New Roman" w:cs="Times New Roman"/>
          <w:color w:val="auto"/>
        </w:rPr>
        <w:fldChar w:fldCharType="end"/>
      </w:r>
      <w:r>
        <w:rPr>
          <w:rFonts w:ascii="Times New Roman" w:hAnsi="Times New Roman" w:cs="Times New Roman"/>
          <w:color w:val="auto"/>
        </w:rPr>
        <w:fldChar w:fldCharType="end"/>
      </w:r>
    </w:p>
    <w:p>
      <w:pPr>
        <w:pStyle w:val="3"/>
        <w:rPr>
          <w:rFonts w:ascii="Times New Roman" w:hAnsi="Times New Roman" w:cs="Times New Roman"/>
          <w:color w:val="auto"/>
          <w:kern w:val="2"/>
          <w:szCs w:val="22"/>
        </w:rPr>
      </w:pPr>
      <w:r>
        <w:rPr>
          <w:color w:val="auto"/>
        </w:rPr>
        <w:fldChar w:fldCharType="begin"/>
      </w:r>
      <w:r>
        <w:rPr>
          <w:color w:val="auto"/>
        </w:rPr>
        <w:instrText xml:space="preserve"> HYPERLINK \l "_Toc117593829" </w:instrText>
      </w:r>
      <w:r>
        <w:rPr>
          <w:color w:val="auto"/>
        </w:rPr>
        <w:fldChar w:fldCharType="separate"/>
      </w:r>
      <w:r>
        <w:rPr>
          <w:rStyle w:val="12"/>
          <w:rFonts w:ascii="Times New Roman" w:hAnsi="Times New Roman" w:cs="Times New Roman"/>
          <w:color w:val="auto"/>
        </w:rPr>
        <w:t>A. 3 平台设备及终端状态TAR文件</w:t>
      </w:r>
      <w:r>
        <w:rPr>
          <w:rFonts w:ascii="Times New Roman" w:hAnsi="Times New Roman" w:cs="Times New Roman"/>
          <w:color w:val="auto"/>
        </w:rPr>
        <w:tab/>
      </w:r>
      <w:r>
        <w:rPr>
          <w:rFonts w:ascii="Times New Roman" w:hAnsi="Times New Roman" w:cs="Times New Roman"/>
          <w:color w:val="auto"/>
        </w:rPr>
        <w:fldChar w:fldCharType="begin"/>
      </w:r>
      <w:r>
        <w:rPr>
          <w:rFonts w:ascii="Times New Roman" w:hAnsi="Times New Roman" w:cs="Times New Roman"/>
          <w:color w:val="auto"/>
        </w:rPr>
        <w:instrText xml:space="preserve"> PAGEREF _Toc117593829 \h </w:instrText>
      </w:r>
      <w:r>
        <w:rPr>
          <w:rFonts w:ascii="Times New Roman" w:hAnsi="Times New Roman" w:cs="Times New Roman"/>
          <w:color w:val="auto"/>
        </w:rPr>
        <w:fldChar w:fldCharType="separate"/>
      </w:r>
      <w:r>
        <w:rPr>
          <w:rFonts w:ascii="Times New Roman" w:hAnsi="Times New Roman" w:cs="Times New Roman"/>
          <w:color w:val="auto"/>
        </w:rPr>
        <w:t>6</w:t>
      </w:r>
      <w:r>
        <w:rPr>
          <w:rFonts w:ascii="Times New Roman" w:hAnsi="Times New Roman" w:cs="Times New Roman"/>
          <w:color w:val="auto"/>
        </w:rPr>
        <w:fldChar w:fldCharType="end"/>
      </w:r>
      <w:r>
        <w:rPr>
          <w:rFonts w:ascii="Times New Roman" w:hAnsi="Times New Roman" w:cs="Times New Roman"/>
          <w:color w:val="auto"/>
        </w:rPr>
        <w:fldChar w:fldCharType="end"/>
      </w:r>
    </w:p>
    <w:p>
      <w:pPr>
        <w:tabs>
          <w:tab w:val="right" w:leader="dot" w:pos="9241"/>
        </w:tabs>
        <w:rPr>
          <w:rFonts w:ascii="Times New Roman" w:hAnsi="Times New Roman" w:cs="Times New Roman"/>
          <w:b/>
          <w:bCs/>
          <w:color w:val="auto"/>
          <w:lang w:val="zh-CN"/>
        </w:rPr>
      </w:pPr>
      <w:r>
        <w:rPr>
          <w:rFonts w:ascii="Times New Roman" w:hAnsi="Times New Roman" w:cs="Times New Roman"/>
          <w:b/>
          <w:bCs/>
          <w:color w:val="auto"/>
          <w:lang w:val="zh-CN"/>
        </w:rPr>
        <w:fldChar w:fldCharType="end"/>
      </w:r>
      <w:bookmarkStart w:id="4" w:name="_Toc111564152"/>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rFonts w:hint="eastAsia"/>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b/>
          <w:bCs/>
          <w:color w:val="auto"/>
          <w:lang w:val="zh-CN"/>
        </w:rPr>
      </w:pPr>
    </w:p>
    <w:p>
      <w:pPr>
        <w:tabs>
          <w:tab w:val="right" w:leader="dot" w:pos="9241"/>
        </w:tabs>
        <w:rPr>
          <w:rFonts w:hint="eastAsia"/>
          <w:b/>
          <w:bCs/>
          <w:color w:val="auto"/>
          <w:lang w:val="zh-CN"/>
        </w:rPr>
      </w:pPr>
    </w:p>
    <w:p>
      <w:pPr>
        <w:widowControl/>
        <w:jc w:val="left"/>
        <w:rPr>
          <w:b/>
          <w:bCs/>
          <w:color w:val="auto"/>
          <w:lang w:val="zh-CN"/>
        </w:rPr>
      </w:pPr>
      <w:r>
        <w:rPr>
          <w:b/>
          <w:bCs/>
          <w:color w:val="auto"/>
          <w:lang w:val="zh-CN"/>
        </w:rPr>
        <w:br w:type="page"/>
      </w:r>
    </w:p>
    <w:p>
      <w:pPr>
        <w:tabs>
          <w:tab w:val="right" w:leader="dot" w:pos="9241"/>
        </w:tabs>
        <w:rPr>
          <w:rFonts w:hint="eastAsia"/>
          <w:b/>
          <w:bCs/>
          <w:color w:val="auto"/>
          <w:lang w:val="zh-CN"/>
        </w:rPr>
      </w:pPr>
    </w:p>
    <w:p>
      <w:pPr>
        <w:spacing w:line="320" w:lineRule="exact"/>
        <w:jc w:val="center"/>
        <w:outlineLvl w:val="0"/>
        <w:rPr>
          <w:rFonts w:ascii="仿宋_GB2312" w:hAnsi="Times New Roman" w:eastAsia="黑体" w:cs="Times New Roman"/>
          <w:color w:val="auto"/>
          <w:sz w:val="32"/>
          <w:szCs w:val="32"/>
        </w:rPr>
      </w:pPr>
      <w:bookmarkStart w:id="5" w:name="_Toc117593808"/>
      <w:r>
        <w:rPr>
          <w:rFonts w:hint="eastAsia" w:ascii="仿宋_GB2312" w:hAnsi="Times New Roman" w:eastAsia="黑体" w:cs="Times New Roman"/>
          <w:color w:val="auto"/>
          <w:sz w:val="32"/>
          <w:szCs w:val="32"/>
        </w:rPr>
        <w:t>前</w:t>
      </w:r>
      <w:r>
        <w:rPr>
          <w:rFonts w:ascii="仿宋_GB2312" w:hAnsi="Times New Roman" w:eastAsia="黑体" w:cs="Times New Roman"/>
          <w:color w:val="auto"/>
          <w:sz w:val="32"/>
          <w:szCs w:val="32"/>
        </w:rPr>
        <w:t xml:space="preserve">   </w:t>
      </w:r>
      <w:r>
        <w:rPr>
          <w:rFonts w:hint="eastAsia" w:ascii="仿宋_GB2312" w:hAnsi="Times New Roman" w:eastAsia="黑体" w:cs="Times New Roman"/>
          <w:color w:val="auto"/>
          <w:sz w:val="32"/>
          <w:szCs w:val="32"/>
        </w:rPr>
        <w:t>言</w:t>
      </w:r>
      <w:bookmarkEnd w:id="4"/>
      <w:bookmarkEnd w:id="5"/>
    </w:p>
    <w:p>
      <w:pPr>
        <w:spacing w:line="280" w:lineRule="exact"/>
        <w:rPr>
          <w:rFonts w:ascii="方正书宋简体" w:hAnsi="Times New Roman" w:eastAsia="方正书宋简体" w:cs="Times New Roman"/>
          <w:b/>
          <w:bCs/>
          <w:color w:val="auto"/>
          <w:szCs w:val="24"/>
        </w:rPr>
      </w:pPr>
    </w:p>
    <w:p>
      <w:pPr>
        <w:spacing w:line="280" w:lineRule="exact"/>
        <w:rPr>
          <w:rFonts w:ascii="宋体" w:hAnsi="宋体" w:eastAsia="宋体" w:cs="Times New Roman"/>
          <w:color w:val="auto"/>
          <w:szCs w:val="24"/>
        </w:rPr>
      </w:pPr>
    </w:p>
    <w:p>
      <w:pPr>
        <w:spacing w:line="280" w:lineRule="exact"/>
        <w:rPr>
          <w:rFonts w:ascii="宋体" w:hAnsi="宋体" w:eastAsia="宋体" w:cs="Times New Roman"/>
          <w:color w:val="auto"/>
          <w:szCs w:val="24"/>
        </w:rPr>
      </w:pPr>
    </w:p>
    <w:p>
      <w:pPr>
        <w:pStyle w:val="14"/>
        <w:rPr>
          <w:color w:val="auto"/>
        </w:rPr>
      </w:pPr>
      <w:r>
        <w:rPr>
          <w:rFonts w:hint="eastAsia"/>
          <w:color w:val="auto"/>
        </w:rPr>
        <w:t>本标准按照GB/T 1.1-2020《标准化工作导则 第1部分：标准化文件的结构和起草规则》的规定起草。</w:t>
      </w:r>
    </w:p>
    <w:p>
      <w:pPr>
        <w:spacing w:line="324" w:lineRule="exact"/>
        <w:ind w:firstLine="420" w:firstLineChars="200"/>
        <w:rPr>
          <w:rFonts w:ascii="宋体" w:hAnsi="宋体" w:eastAsia="宋体" w:cs="Times New Roman"/>
          <w:color w:val="auto"/>
          <w:szCs w:val="24"/>
        </w:rPr>
      </w:pPr>
      <w:r>
        <w:rPr>
          <w:rFonts w:hint="eastAsia" w:ascii="宋体" w:hAnsi="宋体" w:eastAsia="宋体" w:cs="Times New Roman"/>
          <w:color w:val="auto"/>
          <w:szCs w:val="24"/>
        </w:rPr>
        <w:t>本标准由湖南大学提出并归口。</w:t>
      </w:r>
    </w:p>
    <w:p>
      <w:pPr>
        <w:pStyle w:val="14"/>
        <w:rPr>
          <w:rFonts w:hAnsi="宋体"/>
          <w:color w:val="auto"/>
          <w:szCs w:val="24"/>
        </w:rPr>
      </w:pPr>
      <w:r>
        <w:rPr>
          <w:rFonts w:hint="eastAsia" w:hAnsi="宋体"/>
          <w:color w:val="auto"/>
          <w:szCs w:val="24"/>
        </w:rPr>
        <w:t>本标准负责起草单位：</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lang w:eastAsia="zh-Hans"/>
        </w:rPr>
        <w:t>、</w:t>
      </w:r>
      <w:r>
        <w:rPr>
          <w:rFonts w:hint="eastAsia"/>
          <w:color w:val="auto"/>
          <w:lang w:val="en-US" w:eastAsia="zh-CN"/>
        </w:rPr>
        <w:t>XXX</w:t>
      </w:r>
      <w:r>
        <w:rPr>
          <w:rFonts w:hint="eastAsia"/>
          <w:color w:val="auto"/>
          <w:lang w:eastAsia="zh-Hans"/>
        </w:rPr>
        <w:t>、</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rPr>
        <w:t>。</w:t>
      </w:r>
    </w:p>
    <w:p>
      <w:pPr>
        <w:pStyle w:val="14"/>
        <w:rPr>
          <w:rFonts w:hAnsi="宋体"/>
          <w:color w:val="auto"/>
          <w:szCs w:val="24"/>
        </w:rPr>
      </w:pPr>
      <w:r>
        <w:rPr>
          <w:rFonts w:hint="eastAsia" w:ascii="宋体" w:hAnsi="宋体" w:eastAsia="宋体" w:cs="Times New Roman"/>
          <w:color w:val="auto"/>
          <w:szCs w:val="24"/>
        </w:rPr>
        <w:t>本标准主要起草人员：</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lang w:eastAsia="zh-Hans"/>
        </w:rPr>
        <w:t>、</w:t>
      </w:r>
      <w:r>
        <w:rPr>
          <w:rFonts w:hint="eastAsia"/>
          <w:color w:val="auto"/>
          <w:lang w:val="en-US" w:eastAsia="zh-CN"/>
        </w:rPr>
        <w:t>XXX</w:t>
      </w:r>
      <w:r>
        <w:rPr>
          <w:rFonts w:hint="eastAsia"/>
          <w:color w:val="auto"/>
          <w:lang w:eastAsia="zh-Hans"/>
        </w:rPr>
        <w:t>、</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rPr>
        <w:t>、</w:t>
      </w:r>
      <w:r>
        <w:rPr>
          <w:rFonts w:hint="eastAsia"/>
          <w:color w:val="auto"/>
          <w:lang w:val="en-US" w:eastAsia="zh-CN"/>
        </w:rPr>
        <w:t>XXX</w:t>
      </w:r>
      <w:r>
        <w:rPr>
          <w:rFonts w:hint="eastAsia"/>
          <w:color w:val="auto"/>
        </w:rPr>
        <w:t>。</w:t>
      </w:r>
    </w:p>
    <w:p>
      <w:pPr>
        <w:ind w:firstLine="640" w:firstLineChars="200"/>
        <w:rPr>
          <w:rFonts w:ascii="方正黑体简体" w:hAnsi="宋体" w:eastAsia="方正黑体简体" w:cs="Times New Roman"/>
          <w:color w:val="auto"/>
          <w:sz w:val="32"/>
          <w:szCs w:val="32"/>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bookmarkStart w:id="84" w:name="_GoBack"/>
      <w:bookmarkEnd w:id="84"/>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pStyle w:val="8"/>
        <w:spacing w:before="0" w:beforeAutospacing="0" w:after="0" w:afterAutospacing="0"/>
        <w:ind w:firstLine="420" w:firstLineChars="200"/>
        <w:rPr>
          <w:rFonts w:ascii="Times New Roman" w:hAnsi="Times New Roman" w:cs="Times New Roman"/>
          <w:color w:val="auto"/>
          <w:sz w:val="21"/>
          <w:szCs w:val="21"/>
        </w:rPr>
      </w:pPr>
    </w:p>
    <w:p>
      <w:pPr>
        <w:jc w:val="center"/>
        <w:rPr>
          <w:rFonts w:ascii="黑体" w:hAnsi="黑体" w:eastAsia="黑体"/>
          <w:color w:val="auto"/>
          <w:sz w:val="32"/>
          <w:szCs w:val="32"/>
        </w:rPr>
        <w:sectPr>
          <w:headerReference r:id="rId7" w:type="default"/>
          <w:footerReference r:id="rId8" w:type="default"/>
          <w:pgSz w:w="11906" w:h="16838"/>
          <w:pgMar w:top="567" w:right="1134" w:bottom="1134" w:left="1418" w:header="1418" w:footer="1134" w:gutter="0"/>
          <w:pgNumType w:fmt="upperRoman" w:start="1"/>
          <w:cols w:space="720" w:num="1"/>
          <w:formProt w:val="0"/>
          <w:docGrid w:type="lines" w:linePitch="312" w:charSpace="0"/>
        </w:sectPr>
      </w:pPr>
    </w:p>
    <w:p>
      <w:pPr>
        <w:jc w:val="center"/>
        <w:rPr>
          <w:rFonts w:ascii="黑体" w:hAnsi="黑体" w:eastAsia="黑体"/>
          <w:color w:val="auto"/>
          <w:sz w:val="32"/>
          <w:szCs w:val="32"/>
        </w:rPr>
      </w:pPr>
      <w:r>
        <w:rPr>
          <w:rFonts w:hint="eastAsia" w:ascii="黑体" w:hAnsi="黑体" w:eastAsia="黑体"/>
          <w:color w:val="auto"/>
          <w:sz w:val="32"/>
          <w:szCs w:val="32"/>
        </w:rPr>
        <w:t>应急信息接入</w:t>
      </w:r>
    </w:p>
    <w:p>
      <w:pPr>
        <w:jc w:val="center"/>
        <w:rPr>
          <w:rFonts w:ascii="黑体" w:hAnsi="黑体" w:eastAsia="黑体"/>
          <w:color w:val="auto"/>
          <w:sz w:val="32"/>
          <w:szCs w:val="32"/>
        </w:rPr>
      </w:pPr>
    </w:p>
    <w:p>
      <w:pPr>
        <w:pStyle w:val="18"/>
        <w:spacing w:before="156" w:beforeLines="50" w:after="156" w:afterLines="50"/>
        <w:rPr>
          <w:rFonts w:ascii="Times New Roman"/>
          <w:color w:val="auto"/>
        </w:rPr>
      </w:pPr>
      <w:bookmarkStart w:id="6" w:name="_Toc518684644"/>
      <w:bookmarkStart w:id="7" w:name="_Toc117593809"/>
      <w:bookmarkStart w:id="8" w:name="_Toc518684660"/>
      <w:bookmarkStart w:id="9" w:name="_Toc518418996"/>
      <w:bookmarkStart w:id="10" w:name="_Toc518421789"/>
      <w:bookmarkStart w:id="11" w:name="_Toc518418931"/>
      <w:r>
        <w:rPr>
          <w:rFonts w:ascii="Times New Roman"/>
          <w:color w:val="auto"/>
        </w:rPr>
        <w:t>范围</w:t>
      </w:r>
      <w:bookmarkEnd w:id="6"/>
      <w:bookmarkEnd w:id="7"/>
      <w:bookmarkEnd w:id="8"/>
      <w:bookmarkEnd w:id="9"/>
      <w:bookmarkEnd w:id="10"/>
      <w:bookmarkEnd w:id="11"/>
    </w:p>
    <w:p>
      <w:pPr>
        <w:widowControl/>
        <w:numPr>
          <w:ilvl w:val="0"/>
          <w:numId w:val="3"/>
        </w:numPr>
        <w:autoSpaceDE w:val="0"/>
        <w:autoSpaceDN w:val="0"/>
        <w:ind w:firstLine="420" w:firstLineChars="200"/>
        <w:rPr>
          <w:color w:val="auto"/>
          <w:kern w:val="0"/>
          <w:szCs w:val="21"/>
        </w:rPr>
      </w:pPr>
      <w:r>
        <w:rPr>
          <w:color w:val="auto"/>
          <w:kern w:val="0"/>
          <w:szCs w:val="21"/>
        </w:rPr>
        <w:t>本</w:t>
      </w:r>
      <w:r>
        <w:rPr>
          <w:rFonts w:hint="eastAsia"/>
          <w:color w:val="auto"/>
          <w:kern w:val="0"/>
          <w:szCs w:val="21"/>
        </w:rPr>
        <w:t>文件</w:t>
      </w:r>
      <w:r>
        <w:rPr>
          <w:color w:val="auto"/>
          <w:kern w:val="0"/>
          <w:szCs w:val="21"/>
        </w:rPr>
        <w:t>规定了</w:t>
      </w:r>
      <w:r>
        <w:rPr>
          <w:rFonts w:hint="eastAsia"/>
          <w:color w:val="auto"/>
          <w:kern w:val="0"/>
          <w:szCs w:val="21"/>
        </w:rPr>
        <w:t>湖南省应急广播广域双向通讯网的应急信息接入要求，包括接入通用要求，应急广播平台信息接入，应急广播终端信息接入，应急信息接入格式。</w:t>
      </w:r>
    </w:p>
    <w:p>
      <w:pPr>
        <w:widowControl/>
        <w:numPr>
          <w:ilvl w:val="0"/>
          <w:numId w:val="3"/>
        </w:numPr>
        <w:autoSpaceDE w:val="0"/>
        <w:autoSpaceDN w:val="0"/>
        <w:ind w:firstLine="420" w:firstLineChars="200"/>
        <w:rPr>
          <w:dstrike/>
          <w:color w:val="auto"/>
          <w:kern w:val="0"/>
          <w:szCs w:val="21"/>
        </w:rPr>
      </w:pPr>
      <w:r>
        <w:rPr>
          <w:color w:val="auto"/>
          <w:kern w:val="0"/>
          <w:szCs w:val="21"/>
        </w:rPr>
        <w:t>本</w:t>
      </w:r>
      <w:r>
        <w:rPr>
          <w:rFonts w:hint="eastAsia"/>
          <w:color w:val="auto"/>
          <w:kern w:val="0"/>
          <w:szCs w:val="21"/>
        </w:rPr>
        <w:t>文件</w:t>
      </w:r>
      <w:r>
        <w:rPr>
          <w:color w:val="auto"/>
          <w:kern w:val="0"/>
          <w:szCs w:val="21"/>
        </w:rPr>
        <w:t>适用于</w:t>
      </w:r>
      <w:r>
        <w:rPr>
          <w:rFonts w:hint="eastAsia"/>
          <w:color w:val="auto"/>
          <w:kern w:val="0"/>
          <w:szCs w:val="21"/>
        </w:rPr>
        <w:t>湖南省应急广播系统的设计、建设、运行和维护，也适用于原有系统的升级改造。</w:t>
      </w:r>
    </w:p>
    <w:p>
      <w:pPr>
        <w:pStyle w:val="18"/>
        <w:spacing w:before="156" w:beforeLines="50" w:after="156" w:afterLines="50"/>
        <w:rPr>
          <w:rFonts w:ascii="Times New Roman"/>
          <w:color w:val="auto"/>
        </w:rPr>
      </w:pPr>
      <w:bookmarkStart w:id="12" w:name="_Toc64862785"/>
      <w:bookmarkStart w:id="13" w:name="_Toc64683584"/>
      <w:bookmarkStart w:id="14" w:name="_Toc64862516"/>
      <w:bookmarkStart w:id="15" w:name="_Toc59935419"/>
      <w:bookmarkStart w:id="16" w:name="_Toc60027789"/>
      <w:bookmarkStart w:id="17" w:name="_Toc60028002"/>
      <w:bookmarkStart w:id="18" w:name="_Toc64862803"/>
      <w:bookmarkStart w:id="19" w:name="_Toc518418997"/>
      <w:bookmarkStart w:id="20" w:name="_Toc60028092"/>
      <w:bookmarkStart w:id="21" w:name="_Toc59935948"/>
      <w:bookmarkStart w:id="22" w:name="_Toc64862739"/>
      <w:bookmarkStart w:id="23" w:name="_Toc518421790"/>
      <w:bookmarkStart w:id="24" w:name="_Toc518418932"/>
      <w:bookmarkStart w:id="25" w:name="_Toc518684661"/>
      <w:bookmarkStart w:id="26" w:name="_Toc59935125"/>
      <w:bookmarkStart w:id="27" w:name="_Toc60027836"/>
      <w:bookmarkStart w:id="28" w:name="_Toc518684645"/>
      <w:bookmarkStart w:id="29" w:name="_Toc60027912"/>
      <w:bookmarkStart w:id="30" w:name="_Toc59935168"/>
      <w:bookmarkStart w:id="31" w:name="_Toc64862542"/>
      <w:bookmarkStart w:id="32" w:name="_Toc60027606"/>
      <w:bookmarkStart w:id="33" w:name="_Toc60027692"/>
      <w:bookmarkStart w:id="34" w:name="_Toc117593810"/>
      <w:r>
        <w:rPr>
          <w:rFonts w:ascii="Times New Roman"/>
          <w:color w:val="auto"/>
        </w:rPr>
        <w:t>规范性引用文件</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widowControl/>
        <w:numPr>
          <w:ilvl w:val="0"/>
          <w:numId w:val="3"/>
        </w:numPr>
        <w:autoSpaceDE w:val="0"/>
        <w:autoSpaceDN w:val="0"/>
        <w:ind w:firstLine="420" w:firstLineChars="200"/>
        <w:rPr>
          <w:color w:val="auto"/>
          <w:kern w:val="0"/>
          <w:szCs w:val="21"/>
        </w:rPr>
      </w:pPr>
      <w:r>
        <w:rPr>
          <w:rFonts w:hint="eastAsia"/>
          <w:color w:val="auto"/>
          <w:kern w:val="0"/>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pPr>
        <w:widowControl/>
        <w:numPr>
          <w:ilvl w:val="0"/>
          <w:numId w:val="4"/>
        </w:numPr>
        <w:autoSpaceDE w:val="0"/>
        <w:autoSpaceDN w:val="0"/>
        <w:ind w:left="420" w:leftChars="200"/>
        <w:rPr>
          <w:color w:val="auto"/>
          <w:kern w:val="0"/>
          <w:szCs w:val="21"/>
        </w:rPr>
      </w:pPr>
      <w:r>
        <w:rPr>
          <w:rFonts w:hint="eastAsia"/>
          <w:color w:val="auto"/>
          <w:kern w:val="0"/>
          <w:szCs w:val="21"/>
        </w:rPr>
        <w:t>GB/T 22239—2019</w:t>
      </w:r>
      <w:r>
        <w:rPr>
          <w:color w:val="auto"/>
          <w:kern w:val="0"/>
          <w:szCs w:val="21"/>
        </w:rPr>
        <w:t xml:space="preserve"> </w:t>
      </w:r>
      <w:r>
        <w:rPr>
          <w:rFonts w:hint="eastAsia"/>
          <w:color w:val="auto"/>
          <w:kern w:val="0"/>
          <w:szCs w:val="21"/>
        </w:rPr>
        <w:t>信息安全技术 网络安全等级保护基本要求</w:t>
      </w:r>
    </w:p>
    <w:p>
      <w:pPr>
        <w:widowControl/>
        <w:numPr>
          <w:ilvl w:val="0"/>
          <w:numId w:val="4"/>
        </w:numPr>
        <w:autoSpaceDE w:val="0"/>
        <w:autoSpaceDN w:val="0"/>
        <w:ind w:left="420" w:leftChars="200"/>
        <w:rPr>
          <w:color w:val="auto"/>
        </w:rPr>
      </w:pPr>
      <w:r>
        <w:rPr>
          <w:rFonts w:hint="eastAsia"/>
          <w:color w:val="auto"/>
          <w:kern w:val="0"/>
          <w:szCs w:val="21"/>
        </w:rPr>
        <w:t>G</w:t>
      </w:r>
      <w:r>
        <w:rPr>
          <w:color w:val="auto"/>
          <w:kern w:val="0"/>
          <w:szCs w:val="21"/>
        </w:rPr>
        <w:t>B/T 39786</w:t>
      </w:r>
      <w:r>
        <w:rPr>
          <w:rFonts w:hint="eastAsia"/>
          <w:color w:val="auto"/>
          <w:kern w:val="0"/>
          <w:szCs w:val="21"/>
        </w:rPr>
        <w:t>—</w:t>
      </w:r>
      <w:r>
        <w:rPr>
          <w:color w:val="auto"/>
          <w:kern w:val="0"/>
          <w:szCs w:val="21"/>
        </w:rPr>
        <w:t xml:space="preserve">2021 </w:t>
      </w:r>
      <w:r>
        <w:rPr>
          <w:rFonts w:hint="eastAsia"/>
          <w:color w:val="auto"/>
          <w:kern w:val="0"/>
          <w:szCs w:val="21"/>
        </w:rPr>
        <w:t>信息安全技术 信息系统密码应用基本要求</w:t>
      </w:r>
    </w:p>
    <w:p>
      <w:pPr>
        <w:widowControl/>
        <w:numPr>
          <w:ilvl w:val="0"/>
          <w:numId w:val="5"/>
        </w:numPr>
        <w:autoSpaceDE w:val="0"/>
        <w:autoSpaceDN w:val="0"/>
        <w:ind w:left="420" w:leftChars="200"/>
        <w:rPr>
          <w:color w:val="auto"/>
        </w:rPr>
      </w:pPr>
      <w:r>
        <w:rPr>
          <w:color w:val="auto"/>
          <w:kern w:val="0"/>
          <w:szCs w:val="21"/>
        </w:rPr>
        <w:t>GD/J 0</w:t>
      </w:r>
      <w:r>
        <w:rPr>
          <w:rFonts w:hint="eastAsia"/>
          <w:color w:val="auto"/>
          <w:kern w:val="0"/>
          <w:szCs w:val="21"/>
        </w:rPr>
        <w:t>79</w:t>
      </w:r>
      <w:r>
        <w:rPr>
          <w:color w:val="auto"/>
          <w:kern w:val="0"/>
          <w:szCs w:val="21"/>
        </w:rPr>
        <w:t>—2018</w:t>
      </w:r>
      <w:r>
        <w:rPr>
          <w:rFonts w:hint="eastAsia"/>
          <w:color w:val="auto"/>
          <w:kern w:val="0"/>
          <w:szCs w:val="21"/>
        </w:rPr>
        <w:t xml:space="preserve">  </w:t>
      </w:r>
      <w:r>
        <w:rPr>
          <w:color w:val="auto"/>
          <w:kern w:val="0"/>
          <w:szCs w:val="21"/>
        </w:rPr>
        <w:t>应急广播系统</w:t>
      </w:r>
      <w:r>
        <w:rPr>
          <w:rFonts w:hint="eastAsia"/>
          <w:color w:val="auto"/>
          <w:kern w:val="0"/>
          <w:szCs w:val="21"/>
        </w:rPr>
        <w:t>总体技术规范</w:t>
      </w:r>
    </w:p>
    <w:p>
      <w:pPr>
        <w:widowControl/>
        <w:numPr>
          <w:ilvl w:val="0"/>
          <w:numId w:val="4"/>
        </w:numPr>
        <w:autoSpaceDE w:val="0"/>
        <w:autoSpaceDN w:val="0"/>
        <w:ind w:left="420" w:leftChars="200"/>
        <w:rPr>
          <w:color w:val="auto"/>
          <w:kern w:val="0"/>
          <w:szCs w:val="21"/>
        </w:rPr>
      </w:pPr>
      <w:r>
        <w:rPr>
          <w:color w:val="auto"/>
          <w:kern w:val="0"/>
          <w:szCs w:val="21"/>
        </w:rPr>
        <w:t>GD/J 081—2018</w:t>
      </w:r>
      <w:r>
        <w:rPr>
          <w:color w:val="auto"/>
          <w:kern w:val="0"/>
          <w:szCs w:val="21"/>
        </w:rPr>
        <w:tab/>
      </w:r>
      <w:r>
        <w:rPr>
          <w:color w:val="auto"/>
          <w:kern w:val="0"/>
          <w:szCs w:val="21"/>
        </w:rPr>
        <w:t>应急广播安全保护技术规范数字签名</w:t>
      </w:r>
    </w:p>
    <w:p>
      <w:pPr>
        <w:widowControl/>
        <w:numPr>
          <w:ilvl w:val="0"/>
          <w:numId w:val="4"/>
        </w:numPr>
        <w:autoSpaceDE w:val="0"/>
        <w:autoSpaceDN w:val="0"/>
        <w:ind w:left="420" w:leftChars="200"/>
        <w:rPr>
          <w:color w:val="auto"/>
          <w:kern w:val="0"/>
          <w:szCs w:val="21"/>
        </w:rPr>
      </w:pPr>
      <w:r>
        <w:rPr>
          <w:color w:val="auto"/>
          <w:kern w:val="0"/>
          <w:szCs w:val="21"/>
        </w:rPr>
        <w:t>GD/J 082—2018</w:t>
      </w:r>
      <w:r>
        <w:rPr>
          <w:color w:val="auto"/>
          <w:kern w:val="0"/>
          <w:szCs w:val="21"/>
        </w:rPr>
        <w:tab/>
      </w:r>
      <w:r>
        <w:rPr>
          <w:color w:val="auto"/>
          <w:kern w:val="0"/>
          <w:szCs w:val="21"/>
        </w:rPr>
        <w:t>应急广播消息格式规范</w:t>
      </w:r>
    </w:p>
    <w:p>
      <w:pPr>
        <w:widowControl/>
        <w:numPr>
          <w:ilvl w:val="0"/>
          <w:numId w:val="4"/>
        </w:numPr>
        <w:autoSpaceDE w:val="0"/>
        <w:autoSpaceDN w:val="0"/>
        <w:ind w:left="420" w:leftChars="200"/>
        <w:rPr>
          <w:color w:val="auto"/>
          <w:kern w:val="0"/>
          <w:szCs w:val="21"/>
        </w:rPr>
      </w:pPr>
      <w:r>
        <w:rPr>
          <w:rFonts w:hint="eastAsia"/>
          <w:color w:val="auto"/>
          <w:kern w:val="0"/>
          <w:szCs w:val="21"/>
        </w:rPr>
        <w:t xml:space="preserve">GD/J </w:t>
      </w:r>
      <w:r>
        <w:rPr>
          <w:color w:val="auto"/>
          <w:kern w:val="0"/>
          <w:szCs w:val="21"/>
        </w:rPr>
        <w:t>08</w:t>
      </w:r>
      <w:r>
        <w:rPr>
          <w:rFonts w:hint="eastAsia"/>
          <w:color w:val="auto"/>
          <w:kern w:val="0"/>
          <w:szCs w:val="21"/>
        </w:rPr>
        <w:t>3</w:t>
      </w:r>
      <w:r>
        <w:rPr>
          <w:color w:val="auto"/>
          <w:kern w:val="0"/>
          <w:szCs w:val="21"/>
        </w:rPr>
        <w:t>—2018</w:t>
      </w:r>
      <w:r>
        <w:rPr>
          <w:rFonts w:hint="eastAsia"/>
          <w:color w:val="auto"/>
          <w:kern w:val="0"/>
          <w:szCs w:val="21"/>
        </w:rPr>
        <w:t xml:space="preserve">  </w:t>
      </w:r>
      <w:r>
        <w:rPr>
          <w:color w:val="auto"/>
          <w:kern w:val="0"/>
          <w:szCs w:val="21"/>
        </w:rPr>
        <w:t>应急广播</w:t>
      </w:r>
      <w:r>
        <w:rPr>
          <w:rFonts w:hint="eastAsia"/>
          <w:color w:val="auto"/>
          <w:kern w:val="0"/>
          <w:szCs w:val="21"/>
        </w:rPr>
        <w:t>平台接口规范</w:t>
      </w:r>
    </w:p>
    <w:p>
      <w:pPr>
        <w:widowControl/>
        <w:numPr>
          <w:ilvl w:val="0"/>
          <w:numId w:val="4"/>
        </w:numPr>
        <w:autoSpaceDE w:val="0"/>
        <w:autoSpaceDN w:val="0"/>
        <w:ind w:left="420" w:leftChars="200"/>
        <w:rPr>
          <w:color w:val="auto"/>
        </w:rPr>
      </w:pPr>
      <w:r>
        <w:rPr>
          <w:color w:val="auto"/>
          <w:kern w:val="0"/>
          <w:szCs w:val="21"/>
        </w:rPr>
        <w:t>GD/J 08</w:t>
      </w:r>
      <w:r>
        <w:rPr>
          <w:rFonts w:hint="eastAsia"/>
          <w:color w:val="auto"/>
          <w:kern w:val="0"/>
          <w:szCs w:val="21"/>
        </w:rPr>
        <w:t>9</w:t>
      </w:r>
      <w:r>
        <w:rPr>
          <w:color w:val="auto"/>
          <w:kern w:val="0"/>
          <w:szCs w:val="21"/>
        </w:rPr>
        <w:t>—2018</w:t>
      </w:r>
      <w:r>
        <w:rPr>
          <w:color w:val="auto"/>
          <w:kern w:val="0"/>
          <w:szCs w:val="21"/>
        </w:rPr>
        <w:tab/>
      </w:r>
      <w:r>
        <w:rPr>
          <w:color w:val="auto"/>
          <w:kern w:val="0"/>
          <w:szCs w:val="21"/>
        </w:rPr>
        <w:t>应急广播</w:t>
      </w:r>
      <w:r>
        <w:rPr>
          <w:rFonts w:hint="eastAsia"/>
          <w:color w:val="auto"/>
          <w:kern w:val="0"/>
          <w:szCs w:val="21"/>
        </w:rPr>
        <w:t>大喇叭系统技术规范</w:t>
      </w:r>
    </w:p>
    <w:p>
      <w:pPr>
        <w:widowControl/>
        <w:autoSpaceDE w:val="0"/>
        <w:autoSpaceDN w:val="0"/>
        <w:ind w:left="420"/>
        <w:rPr>
          <w:color w:val="auto"/>
          <w:kern w:val="0"/>
          <w:szCs w:val="21"/>
        </w:rPr>
      </w:pPr>
    </w:p>
    <w:p>
      <w:pPr>
        <w:pStyle w:val="18"/>
        <w:spacing w:before="156" w:beforeLines="50" w:after="156" w:afterLines="50"/>
        <w:rPr>
          <w:rFonts w:ascii="Times New Roman"/>
          <w:color w:val="auto"/>
        </w:rPr>
      </w:pPr>
      <w:bookmarkStart w:id="35" w:name="_Toc60027693"/>
      <w:bookmarkStart w:id="36" w:name="_Toc59935420"/>
      <w:bookmarkStart w:id="37" w:name="_Toc60027837"/>
      <w:bookmarkStart w:id="38" w:name="_Toc59935949"/>
      <w:bookmarkStart w:id="39" w:name="_Toc60027913"/>
      <w:bookmarkStart w:id="40" w:name="_Toc64862517"/>
      <w:bookmarkStart w:id="41" w:name="_Toc60028093"/>
      <w:bookmarkStart w:id="42" w:name="_Toc60027607"/>
      <w:bookmarkStart w:id="43" w:name="_Toc60028003"/>
      <w:bookmarkStart w:id="44" w:name="_Toc64862786"/>
      <w:bookmarkStart w:id="45" w:name="_Toc64862804"/>
      <w:bookmarkStart w:id="46" w:name="_Toc60027790"/>
      <w:bookmarkStart w:id="47" w:name="_Toc64862740"/>
      <w:bookmarkStart w:id="48" w:name="_Toc64862543"/>
      <w:bookmarkStart w:id="49" w:name="_Toc64683585"/>
      <w:bookmarkStart w:id="50" w:name="_Toc518421791"/>
      <w:bookmarkStart w:id="51" w:name="_Toc518684662"/>
      <w:bookmarkStart w:id="52" w:name="_Toc518418933"/>
      <w:bookmarkStart w:id="53" w:name="_Toc518684646"/>
      <w:bookmarkStart w:id="54" w:name="_Toc117593811"/>
      <w:bookmarkStart w:id="55" w:name="_Toc518418998"/>
      <w:r>
        <w:rPr>
          <w:rFonts w:ascii="Times New Roman"/>
          <w:color w:val="auto"/>
        </w:rPr>
        <w:t>术语</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Pr>
          <w:rFonts w:ascii="Times New Roman"/>
          <w:color w:val="auto"/>
        </w:rPr>
        <w:t>和定义</w:t>
      </w:r>
      <w:bookmarkEnd w:id="50"/>
      <w:bookmarkEnd w:id="51"/>
      <w:bookmarkEnd w:id="52"/>
      <w:bookmarkEnd w:id="53"/>
      <w:bookmarkEnd w:id="54"/>
      <w:bookmarkEnd w:id="55"/>
    </w:p>
    <w:p>
      <w:pPr>
        <w:widowControl/>
        <w:numPr>
          <w:ilvl w:val="0"/>
          <w:numId w:val="3"/>
        </w:numPr>
        <w:autoSpaceDE w:val="0"/>
        <w:autoSpaceDN w:val="0"/>
        <w:ind w:firstLine="420" w:firstLineChars="200"/>
        <w:rPr>
          <w:color w:val="auto"/>
          <w:kern w:val="0"/>
          <w:szCs w:val="21"/>
        </w:rPr>
      </w:pPr>
      <w:r>
        <w:rPr>
          <w:color w:val="auto"/>
          <w:kern w:val="0"/>
          <w:szCs w:val="21"/>
        </w:rPr>
        <w:t xml:space="preserve"> GD/J 079-2018、G</w:t>
      </w:r>
      <w:r>
        <w:rPr>
          <w:rFonts w:hint="eastAsia"/>
          <w:color w:val="auto"/>
          <w:kern w:val="0"/>
          <w:szCs w:val="21"/>
        </w:rPr>
        <w:t>D</w:t>
      </w:r>
      <w:r>
        <w:rPr>
          <w:color w:val="auto"/>
          <w:kern w:val="0"/>
          <w:szCs w:val="21"/>
        </w:rPr>
        <w:t>/</w:t>
      </w:r>
      <w:r>
        <w:rPr>
          <w:rFonts w:hint="eastAsia"/>
          <w:color w:val="auto"/>
          <w:kern w:val="0"/>
          <w:szCs w:val="21"/>
        </w:rPr>
        <w:t>J</w:t>
      </w:r>
      <w:r>
        <w:rPr>
          <w:color w:val="auto"/>
          <w:kern w:val="0"/>
          <w:szCs w:val="21"/>
        </w:rPr>
        <w:t xml:space="preserve"> </w:t>
      </w:r>
      <w:r>
        <w:rPr>
          <w:rFonts w:hint="eastAsia"/>
          <w:color w:val="auto"/>
          <w:kern w:val="0"/>
          <w:szCs w:val="21"/>
        </w:rPr>
        <w:t>0</w:t>
      </w:r>
      <w:r>
        <w:rPr>
          <w:color w:val="auto"/>
          <w:kern w:val="0"/>
          <w:szCs w:val="21"/>
        </w:rPr>
        <w:t>81</w:t>
      </w:r>
      <w:r>
        <w:rPr>
          <w:rFonts w:hint="eastAsia"/>
          <w:color w:val="auto"/>
          <w:kern w:val="0"/>
          <w:szCs w:val="21"/>
        </w:rPr>
        <w:t>-2018</w:t>
      </w:r>
      <w:r>
        <w:rPr>
          <w:color w:val="auto"/>
          <w:kern w:val="0"/>
          <w:szCs w:val="21"/>
        </w:rPr>
        <w:t>、G</w:t>
      </w:r>
      <w:r>
        <w:rPr>
          <w:rFonts w:hint="eastAsia"/>
          <w:color w:val="auto"/>
          <w:kern w:val="0"/>
          <w:szCs w:val="21"/>
        </w:rPr>
        <w:t>D</w:t>
      </w:r>
      <w:r>
        <w:rPr>
          <w:color w:val="auto"/>
          <w:kern w:val="0"/>
          <w:szCs w:val="21"/>
        </w:rPr>
        <w:t>/</w:t>
      </w:r>
      <w:r>
        <w:rPr>
          <w:rFonts w:hint="eastAsia"/>
          <w:color w:val="auto"/>
          <w:kern w:val="0"/>
          <w:szCs w:val="21"/>
        </w:rPr>
        <w:t>J</w:t>
      </w:r>
      <w:r>
        <w:rPr>
          <w:color w:val="auto"/>
          <w:kern w:val="0"/>
          <w:szCs w:val="21"/>
        </w:rPr>
        <w:t xml:space="preserve"> </w:t>
      </w:r>
      <w:r>
        <w:rPr>
          <w:rFonts w:hint="eastAsia"/>
          <w:color w:val="auto"/>
          <w:kern w:val="0"/>
          <w:szCs w:val="21"/>
        </w:rPr>
        <w:t>0</w:t>
      </w:r>
      <w:r>
        <w:rPr>
          <w:color w:val="auto"/>
          <w:kern w:val="0"/>
          <w:szCs w:val="21"/>
        </w:rPr>
        <w:t>88</w:t>
      </w:r>
      <w:r>
        <w:rPr>
          <w:rFonts w:hint="eastAsia"/>
          <w:color w:val="auto"/>
          <w:kern w:val="0"/>
          <w:szCs w:val="21"/>
        </w:rPr>
        <w:t>-2018</w:t>
      </w:r>
      <w:r>
        <w:rPr>
          <w:color w:val="auto"/>
          <w:kern w:val="0"/>
          <w:szCs w:val="21"/>
        </w:rPr>
        <w:t>界定的以及下列术语和定义适用于本文件。</w:t>
      </w:r>
    </w:p>
    <w:p>
      <w:pPr>
        <w:pStyle w:val="19"/>
        <w:rPr>
          <w:rFonts w:ascii="Times New Roman"/>
          <w:color w:val="auto"/>
        </w:rPr>
      </w:pPr>
      <w:bookmarkStart w:id="56" w:name="_Toc1848813790"/>
      <w:bookmarkEnd w:id="56"/>
      <w:bookmarkStart w:id="57" w:name="_Toc518421793"/>
      <w:bookmarkEnd w:id="57"/>
      <w:bookmarkStart w:id="58" w:name="_Toc2120191172"/>
      <w:bookmarkEnd w:id="58"/>
      <w:bookmarkStart w:id="59" w:name="_Toc518419000"/>
      <w:bookmarkEnd w:id="59"/>
      <w:bookmarkStart w:id="60" w:name="_Toc518684664"/>
      <w:bookmarkEnd w:id="60"/>
      <w:bookmarkStart w:id="61" w:name="_Toc117593812"/>
      <w:bookmarkEnd w:id="61"/>
      <w:bookmarkStart w:id="62" w:name="_Toc518418999"/>
      <w:bookmarkEnd w:id="62"/>
      <w:bookmarkStart w:id="63" w:name="_Toc518421792"/>
      <w:bookmarkEnd w:id="63"/>
      <w:bookmarkStart w:id="64" w:name="_Toc518684663"/>
      <w:bookmarkEnd w:id="64"/>
    </w:p>
    <w:p>
      <w:pPr>
        <w:widowControl/>
        <w:numPr>
          <w:ilvl w:val="0"/>
          <w:numId w:val="4"/>
        </w:numPr>
        <w:autoSpaceDE w:val="0"/>
        <w:autoSpaceDN w:val="0"/>
        <w:ind w:firstLine="420" w:firstLineChars="200"/>
        <w:rPr>
          <w:color w:val="auto"/>
          <w:kern w:val="0"/>
          <w:szCs w:val="21"/>
        </w:rPr>
      </w:pPr>
      <w:r>
        <w:rPr>
          <w:rFonts w:hint="eastAsia" w:ascii="黑体" w:hAnsi="黑体" w:eastAsia="黑体" w:cs="Times New Roman"/>
          <w:color w:val="auto"/>
          <w:kern w:val="0"/>
          <w:szCs w:val="21"/>
        </w:rPr>
        <w:t>应</w:t>
      </w:r>
      <w:r>
        <w:rPr>
          <w:rFonts w:ascii="黑体" w:hAnsi="黑体" w:eastAsia="黑体" w:cs="Times New Roman"/>
          <w:color w:val="auto"/>
          <w:kern w:val="0"/>
          <w:szCs w:val="21"/>
        </w:rPr>
        <w:t>急广播</w:t>
      </w:r>
      <w:r>
        <w:rPr>
          <w:rFonts w:hint="eastAsia" w:ascii="黑体" w:hAnsi="黑体" w:eastAsia="黑体" w:cs="Times New Roman"/>
          <w:color w:val="auto"/>
          <w:kern w:val="0"/>
          <w:szCs w:val="21"/>
        </w:rPr>
        <w:t>消息</w:t>
      </w:r>
      <w:r>
        <w:rPr>
          <w:rFonts w:hint="eastAsia" w:ascii="黑体" w:eastAsia="黑体"/>
          <w:color w:val="auto"/>
          <w:spacing w:val="-1"/>
        </w:rPr>
        <w:t xml:space="preserve"> emergency broadcasting message</w:t>
      </w:r>
    </w:p>
    <w:p>
      <w:pPr>
        <w:widowControl/>
        <w:numPr>
          <w:ilvl w:val="0"/>
          <w:numId w:val="4"/>
        </w:numPr>
        <w:autoSpaceDE w:val="0"/>
        <w:autoSpaceDN w:val="0"/>
        <w:ind w:firstLine="452" w:firstLineChars="200"/>
        <w:rPr>
          <w:color w:val="auto"/>
          <w:kern w:val="0"/>
          <w:szCs w:val="21"/>
        </w:rPr>
      </w:pPr>
      <w:r>
        <w:rPr>
          <w:rFonts w:hint="eastAsia"/>
          <w:color w:val="auto"/>
          <w:spacing w:val="8"/>
          <w:kern w:val="0"/>
          <w:szCs w:val="21"/>
        </w:rPr>
        <w:t>各级应急广播平台之间，以及应急广播平台与各类应急广播传输覆盖资源和终端之间传递的应急信息播发相关数据。</w:t>
      </w:r>
    </w:p>
    <w:p>
      <w:pPr>
        <w:widowControl/>
        <w:numPr>
          <w:ilvl w:val="0"/>
          <w:numId w:val="4"/>
        </w:numPr>
        <w:autoSpaceDE w:val="0"/>
        <w:autoSpaceDN w:val="0"/>
        <w:ind w:firstLine="452" w:firstLineChars="200"/>
        <w:rPr>
          <w:color w:val="auto"/>
          <w:kern w:val="0"/>
          <w:szCs w:val="21"/>
        </w:rPr>
      </w:pPr>
      <w:r>
        <w:rPr>
          <w:rFonts w:hint="eastAsia"/>
          <w:color w:val="auto"/>
          <w:spacing w:val="8"/>
          <w:kern w:val="0"/>
          <w:szCs w:val="21"/>
        </w:rPr>
        <w:t>[来源：G</w:t>
      </w:r>
      <w:r>
        <w:rPr>
          <w:color w:val="auto"/>
          <w:spacing w:val="8"/>
          <w:kern w:val="0"/>
          <w:szCs w:val="21"/>
        </w:rPr>
        <w:t xml:space="preserve">D/J 079-2018 </w:t>
      </w:r>
      <w:r>
        <w:rPr>
          <w:color w:val="auto"/>
          <w:kern w:val="0"/>
          <w:szCs w:val="21"/>
        </w:rPr>
        <w:t>应急广播系统</w:t>
      </w:r>
      <w:r>
        <w:rPr>
          <w:rFonts w:hint="eastAsia"/>
          <w:color w:val="auto"/>
          <w:kern w:val="0"/>
          <w:szCs w:val="21"/>
        </w:rPr>
        <w:t>总体技术规范，定义3</w:t>
      </w:r>
      <w:r>
        <w:rPr>
          <w:color w:val="auto"/>
          <w:kern w:val="0"/>
          <w:szCs w:val="21"/>
        </w:rPr>
        <w:t>.4</w:t>
      </w:r>
      <w:r>
        <w:rPr>
          <w:color w:val="auto"/>
          <w:spacing w:val="8"/>
          <w:kern w:val="0"/>
          <w:szCs w:val="21"/>
        </w:rPr>
        <w:t>]</w:t>
      </w:r>
    </w:p>
    <w:p>
      <w:pPr>
        <w:pStyle w:val="18"/>
        <w:spacing w:before="156" w:beforeLines="50" w:after="156" w:afterLines="50"/>
        <w:rPr>
          <w:rFonts w:ascii="Times New Roman"/>
          <w:color w:val="auto"/>
        </w:rPr>
      </w:pPr>
      <w:bookmarkStart w:id="65" w:name="_Toc117593813"/>
      <w:r>
        <w:rPr>
          <w:rFonts w:hint="eastAsia" w:ascii="Times New Roman"/>
          <w:color w:val="auto"/>
        </w:rPr>
        <w:t>接入通用要求</w:t>
      </w:r>
      <w:bookmarkEnd w:id="65"/>
    </w:p>
    <w:p>
      <w:pPr>
        <w:pStyle w:val="19"/>
        <w:rPr>
          <w:rFonts w:ascii="Times New Roman"/>
          <w:color w:val="auto"/>
        </w:rPr>
      </w:pPr>
      <w:bookmarkStart w:id="66" w:name="_Toc117593814"/>
      <w:bookmarkStart w:id="67" w:name="_Hlk22200575"/>
      <w:r>
        <w:rPr>
          <w:rFonts w:hint="eastAsia" w:ascii="Times New Roman"/>
          <w:color w:val="auto"/>
        </w:rPr>
        <w:t>接入网络拓扑图</w:t>
      </w:r>
      <w:bookmarkEnd w:id="66"/>
    </w:p>
    <w:p>
      <w:pPr>
        <w:pStyle w:val="14"/>
        <w:rPr>
          <w:rFonts w:ascii="Times New Roman"/>
          <w:color w:val="auto"/>
        </w:rPr>
      </w:pPr>
      <w:r>
        <w:rPr>
          <w:rFonts w:hint="eastAsia" w:ascii="Times New Roman"/>
          <w:color w:val="auto"/>
        </w:rPr>
        <w:t>应急广播广域双向通讯网络接入拓扑图如图1所示。应急广播平台纵向与上、下级应急广播平台对接。横向与本级应急管理、气象、水利、卫生健康等应急信息来源机构对接，接收应急广播信息源。</w:t>
      </w:r>
    </w:p>
    <w:p>
      <w:pPr>
        <w:pStyle w:val="14"/>
        <w:rPr>
          <w:rFonts w:ascii="Times New Roman"/>
          <w:color w:val="auto"/>
        </w:rPr>
      </w:pPr>
      <w:r>
        <w:rPr>
          <w:rFonts w:hint="eastAsia" w:ascii="Times New Roman"/>
          <w:color w:val="auto"/>
        </w:rPr>
        <w:t>应急广播平台通过适配设备与频率频道播出系统对接，发布应急广播消息。</w:t>
      </w:r>
    </w:p>
    <w:p>
      <w:pPr>
        <w:pStyle w:val="14"/>
        <w:rPr>
          <w:rFonts w:ascii="Times New Roman"/>
          <w:color w:val="auto"/>
        </w:rPr>
      </w:pPr>
      <w:r>
        <w:rPr>
          <w:rFonts w:hint="eastAsia" w:ascii="Times New Roman"/>
          <w:color w:val="auto"/>
        </w:rPr>
        <w:t>应急广播平台通过广域双向通讯网与传输覆盖网络连接，发布应急广播消息，同时接收应急广播设备的回传信息。</w:t>
      </w:r>
    </w:p>
    <w:p>
      <w:pPr>
        <w:pStyle w:val="14"/>
        <w:rPr>
          <w:rFonts w:ascii="Times New Roman"/>
          <w:color w:val="auto"/>
        </w:rPr>
      </w:pPr>
    </w:p>
    <w:p>
      <w:pPr>
        <w:widowControl/>
        <w:jc w:val="center"/>
        <w:rPr>
          <w:rFonts w:ascii="宋体" w:hAnsi="宋体" w:cs="宋体"/>
          <w:color w:val="auto"/>
          <w:kern w:val="0"/>
          <w:sz w:val="24"/>
          <w:lang w:bidi="ar"/>
        </w:rPr>
      </w:pPr>
    </w:p>
    <w:p>
      <w:pPr>
        <w:pStyle w:val="2"/>
        <w:widowControl/>
        <w:jc w:val="center"/>
        <w:rPr>
          <w:color w:val="auto"/>
        </w:rPr>
      </w:pPr>
      <w:r>
        <w:rPr>
          <w:rFonts w:ascii="宋体" w:hAnsi="宋体" w:eastAsia="宋体" w:cs="宋体"/>
          <w:color w:val="auto"/>
          <w:kern w:val="0"/>
          <w:sz w:val="24"/>
          <w:szCs w:val="24"/>
          <w:lang w:bidi="ar"/>
        </w:rPr>
        <w:drawing>
          <wp:inline distT="0" distB="0" distL="114300" distR="114300">
            <wp:extent cx="4468495" cy="3056255"/>
            <wp:effectExtent l="0" t="0" r="12065" b="6985"/>
            <wp:docPr id="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IMG_256"/>
                    <pic:cNvPicPr>
                      <a:picLocks noChangeAspect="1"/>
                    </pic:cNvPicPr>
                  </pic:nvPicPr>
                  <pic:blipFill>
                    <a:blip r:embed="rId11"/>
                    <a:stretch>
                      <a:fillRect/>
                    </a:stretch>
                  </pic:blipFill>
                  <pic:spPr>
                    <a:xfrm>
                      <a:off x="0" y="0"/>
                      <a:ext cx="4468495" cy="3056255"/>
                    </a:xfrm>
                    <a:prstGeom prst="rect">
                      <a:avLst/>
                    </a:prstGeom>
                    <a:noFill/>
                    <a:ln>
                      <a:noFill/>
                    </a:ln>
                  </pic:spPr>
                </pic:pic>
              </a:graphicData>
            </a:graphic>
          </wp:inline>
        </w:drawing>
      </w:r>
    </w:p>
    <w:p>
      <w:pPr>
        <w:pStyle w:val="2"/>
        <w:widowControl/>
        <w:jc w:val="center"/>
        <w:rPr>
          <w:rFonts w:ascii="宋体" w:hAnsi="宋体" w:eastAsia="宋体" w:cs="宋体"/>
          <w:color w:val="auto"/>
          <w:kern w:val="0"/>
          <w:sz w:val="24"/>
          <w:szCs w:val="24"/>
          <w:lang w:bidi="ar"/>
        </w:rPr>
      </w:pPr>
      <w:r>
        <w:rPr>
          <w:color w:val="auto"/>
        </w:rPr>
        <w:t xml:space="preserve">图 </w:t>
      </w:r>
      <w:r>
        <w:rPr>
          <w:color w:val="auto"/>
        </w:rPr>
        <w:fldChar w:fldCharType="begin"/>
      </w:r>
      <w:r>
        <w:rPr>
          <w:color w:val="auto"/>
        </w:rPr>
        <w:instrText xml:space="preserve"> SEQ 图 \* ARABIC </w:instrText>
      </w:r>
      <w:r>
        <w:rPr>
          <w:color w:val="auto"/>
        </w:rPr>
        <w:fldChar w:fldCharType="separate"/>
      </w:r>
      <w:r>
        <w:rPr>
          <w:color w:val="auto"/>
        </w:rPr>
        <w:t>1</w:t>
      </w:r>
      <w:r>
        <w:rPr>
          <w:color w:val="auto"/>
        </w:rPr>
        <w:fldChar w:fldCharType="end"/>
      </w:r>
      <w:r>
        <w:rPr>
          <w:rFonts w:hint="eastAsia"/>
          <w:color w:val="auto"/>
        </w:rPr>
        <w:t xml:space="preserve"> 应急广播广域双向通讯网络接入拓扑图</w:t>
      </w:r>
    </w:p>
    <w:p>
      <w:pPr>
        <w:pStyle w:val="19"/>
        <w:rPr>
          <w:rFonts w:ascii="Times New Roman"/>
          <w:color w:val="auto"/>
        </w:rPr>
      </w:pPr>
      <w:bookmarkStart w:id="68" w:name="_Toc117593815"/>
      <w:r>
        <w:rPr>
          <w:rFonts w:hint="eastAsia" w:ascii="Times New Roman"/>
          <w:color w:val="auto"/>
        </w:rPr>
        <w:t>接入信息分类</w:t>
      </w:r>
      <w:bookmarkEnd w:id="68"/>
    </w:p>
    <w:bookmarkEnd w:id="67"/>
    <w:p>
      <w:pPr>
        <w:widowControl/>
        <w:numPr>
          <w:ilvl w:val="0"/>
          <w:numId w:val="4"/>
        </w:numPr>
        <w:autoSpaceDE w:val="0"/>
        <w:autoSpaceDN w:val="0"/>
        <w:ind w:firstLine="420" w:firstLineChars="200"/>
        <w:rPr>
          <w:color w:val="auto"/>
          <w:kern w:val="0"/>
          <w:szCs w:val="21"/>
        </w:rPr>
      </w:pPr>
      <w:bookmarkStart w:id="69" w:name="_Hlk104660846"/>
      <w:r>
        <w:rPr>
          <w:rFonts w:hint="eastAsia"/>
          <w:color w:val="auto"/>
          <w:kern w:val="0"/>
          <w:szCs w:val="21"/>
        </w:rPr>
        <w:t>接入信息可根据接入信息事件和接入信息来源等级分类。</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按照接入信息事件分类，接入信息可包括自然灾害、事故灾害、公共卫生事件、安全事件和其他突发事件等，详细定义可参考《国家应急平台体系信息资源分类与编码规范》。</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按照接入信息来源等级分类，接入信息可包括上级应急广播平台接入、平级横向应急信息发布平台接入和下级应急广播平台接入等。横向应急信息发布平台包括地震、水利、气象等系统平台。</w:t>
      </w:r>
    </w:p>
    <w:bookmarkEnd w:id="69"/>
    <w:p>
      <w:pPr>
        <w:pStyle w:val="19"/>
        <w:rPr>
          <w:color w:val="auto"/>
        </w:rPr>
      </w:pPr>
      <w:bookmarkStart w:id="70" w:name="_Toc117593816"/>
      <w:r>
        <w:rPr>
          <w:rFonts w:hint="eastAsia"/>
          <w:color w:val="auto"/>
        </w:rPr>
        <w:t>信息接入要求</w:t>
      </w:r>
      <w:bookmarkEnd w:id="70"/>
    </w:p>
    <w:p>
      <w:pPr>
        <w:pStyle w:val="14"/>
        <w:rPr>
          <w:color w:val="auto"/>
        </w:rPr>
      </w:pPr>
      <w:r>
        <w:rPr>
          <w:rFonts w:hint="eastAsia"/>
          <w:color w:val="auto"/>
        </w:rPr>
        <w:t>应急广播平台应采用安全可靠的通讯方式实现与本级政府、应急信息发布部门或广播电视播出机构对接，并对应急信息进行来源、格式、完整性校验后进行后续处理。</w:t>
      </w:r>
    </w:p>
    <w:p>
      <w:pPr>
        <w:pStyle w:val="14"/>
        <w:rPr>
          <w:color w:val="auto"/>
        </w:rPr>
      </w:pPr>
      <w:r>
        <w:rPr>
          <w:rFonts w:hint="eastAsia"/>
          <w:color w:val="auto"/>
        </w:rPr>
        <w:t>信息接入可包括前置系统接入、平台接口接入以及应急广播适配接入三种方式。</w:t>
      </w:r>
    </w:p>
    <w:p>
      <w:pPr>
        <w:pStyle w:val="20"/>
        <w:spacing w:before="156" w:after="156"/>
        <w:rPr>
          <w:color w:val="auto"/>
        </w:rPr>
      </w:pPr>
      <w:r>
        <w:rPr>
          <w:rFonts w:hint="eastAsia"/>
          <w:color w:val="auto"/>
        </w:rPr>
        <w:t>前置系统接入</w:t>
      </w:r>
    </w:p>
    <w:p>
      <w:pPr>
        <w:pStyle w:val="14"/>
        <w:rPr>
          <w:color w:val="auto"/>
        </w:rPr>
      </w:pPr>
      <w:r>
        <w:rPr>
          <w:rFonts w:hint="eastAsia"/>
          <w:color w:val="auto"/>
        </w:rPr>
        <w:t>横向应急信息发布部门部署应急广播前置系统，通过前置系统向应急广播平台发布应急广播消息。前置系统与应急广播平台之间应根据GD/J 083-2018 规范进行对接。</w:t>
      </w:r>
    </w:p>
    <w:p>
      <w:pPr>
        <w:pStyle w:val="20"/>
        <w:spacing w:before="156" w:after="156"/>
        <w:rPr>
          <w:color w:val="auto"/>
        </w:rPr>
      </w:pPr>
      <w:r>
        <w:rPr>
          <w:rFonts w:hint="eastAsia"/>
          <w:color w:val="auto"/>
        </w:rPr>
        <w:t>平台接口接入</w:t>
      </w:r>
    </w:p>
    <w:p>
      <w:pPr>
        <w:pStyle w:val="14"/>
        <w:rPr>
          <w:color w:val="auto"/>
        </w:rPr>
      </w:pPr>
      <w:r>
        <w:rPr>
          <w:rFonts w:hint="eastAsia"/>
          <w:color w:val="auto"/>
        </w:rPr>
        <w:t>上、下级应急广播平台，以及具备对接能力的横向应急信息发布部门，可以采用平台间接口协议对接的方式进行信息接入，接口规范可参照 GD/J 083-2018。</w:t>
      </w:r>
    </w:p>
    <w:p>
      <w:pPr>
        <w:pStyle w:val="20"/>
        <w:spacing w:before="156" w:after="156"/>
        <w:rPr>
          <w:color w:val="auto"/>
        </w:rPr>
      </w:pPr>
      <w:r>
        <w:rPr>
          <w:rFonts w:hint="eastAsia"/>
          <w:color w:val="auto"/>
        </w:rPr>
        <w:t>应急广播适配接入</w:t>
      </w:r>
    </w:p>
    <w:p>
      <w:pPr>
        <w:pStyle w:val="14"/>
        <w:rPr>
          <w:color w:val="auto"/>
        </w:rPr>
      </w:pPr>
      <w:r>
        <w:rPr>
          <w:rFonts w:hint="eastAsia"/>
          <w:color w:val="auto"/>
        </w:rPr>
        <w:t>应急广播平台将应急广播消息通过平台接口传送给应急广播适配设备或服务，应急广播适配设备或服务接收和解析应急广播消息后，应通过软硬件接口，转换成大喇叭终端、智能广播终端、新媒体终端、公共接收终端、智能话筒、智能移动设备等能够支持的格式，实现应急广播消息在这些设备或系统行进行展现。</w:t>
      </w:r>
    </w:p>
    <w:p>
      <w:pPr>
        <w:pStyle w:val="19"/>
        <w:rPr>
          <w:color w:val="auto"/>
        </w:rPr>
      </w:pPr>
      <w:bookmarkStart w:id="71" w:name="_Toc117593817"/>
      <w:r>
        <w:rPr>
          <w:rFonts w:hint="eastAsia"/>
          <w:color w:val="auto"/>
        </w:rPr>
        <w:t>信息接入内容要素要求</w:t>
      </w:r>
      <w:bookmarkEnd w:id="71"/>
    </w:p>
    <w:p>
      <w:pPr>
        <w:pStyle w:val="14"/>
        <w:rPr>
          <w:color w:val="auto"/>
        </w:rPr>
      </w:pPr>
      <w:r>
        <w:rPr>
          <w:rFonts w:hint="eastAsia"/>
          <w:color w:val="auto"/>
        </w:rPr>
        <w:t>信息接入的内容应该包含来源单位、名称、事件级别、事件类型、发布内容、目标区域、发布时间等。具体信息要素参考GDJ 082-2018中表A.1的内容。</w:t>
      </w:r>
    </w:p>
    <w:p>
      <w:pPr>
        <w:pStyle w:val="18"/>
        <w:spacing w:before="156" w:beforeLines="50" w:after="156" w:afterLines="50"/>
        <w:rPr>
          <w:rFonts w:eastAsia="宋体"/>
          <w:color w:val="auto"/>
        </w:rPr>
      </w:pPr>
      <w:r>
        <w:rPr>
          <w:rFonts w:hint="eastAsia"/>
          <w:color w:val="auto"/>
        </w:rPr>
        <w:tab/>
      </w:r>
      <w:bookmarkStart w:id="72" w:name="_Toc117593818"/>
      <w:r>
        <w:rPr>
          <w:rFonts w:hint="eastAsia"/>
          <w:color w:val="auto"/>
        </w:rPr>
        <w:t>应急广播平台信息接入</w:t>
      </w:r>
      <w:bookmarkEnd w:id="72"/>
    </w:p>
    <w:p>
      <w:pPr>
        <w:pStyle w:val="19"/>
        <w:rPr>
          <w:rFonts w:ascii="Times New Roman"/>
          <w:color w:val="auto"/>
        </w:rPr>
      </w:pPr>
      <w:bookmarkStart w:id="73" w:name="_Toc117593819"/>
      <w:r>
        <w:rPr>
          <w:rFonts w:hint="eastAsia" w:ascii="Times New Roman"/>
          <w:color w:val="auto"/>
        </w:rPr>
        <w:t>接入规范</w:t>
      </w:r>
      <w:bookmarkEnd w:id="73"/>
    </w:p>
    <w:p>
      <w:pPr>
        <w:pStyle w:val="20"/>
        <w:spacing w:before="156" w:after="156"/>
        <w:rPr>
          <w:color w:val="auto"/>
        </w:rPr>
      </w:pPr>
      <w:r>
        <w:rPr>
          <w:rFonts w:hint="eastAsia"/>
          <w:color w:val="auto"/>
        </w:rPr>
        <w:t>上下级应急信息接入</w:t>
      </w:r>
    </w:p>
    <w:p>
      <w:pPr>
        <w:pStyle w:val="14"/>
        <w:rPr>
          <w:color w:val="auto"/>
        </w:rPr>
      </w:pPr>
      <w:r>
        <w:rPr>
          <w:rFonts w:hint="eastAsia" w:hAnsi="宋体" w:cs="仿宋"/>
          <w:color w:val="auto"/>
          <w:szCs w:val="21"/>
        </w:rPr>
        <w:t>应急广播播控平台上级、下级应急广播平台采用平台接口接入方式，接口规范应符合GDJ 083-2018，应急广播消息格式应符合GDJ 082-2018。</w:t>
      </w:r>
    </w:p>
    <w:p>
      <w:pPr>
        <w:pStyle w:val="20"/>
        <w:spacing w:before="156" w:after="156"/>
        <w:rPr>
          <w:color w:val="auto"/>
        </w:rPr>
      </w:pPr>
      <w:r>
        <w:rPr>
          <w:rFonts w:hint="eastAsia"/>
          <w:color w:val="auto"/>
        </w:rPr>
        <w:t>同级应急信息接入</w:t>
      </w:r>
    </w:p>
    <w:p>
      <w:pPr>
        <w:pStyle w:val="14"/>
        <w:rPr>
          <w:rFonts w:hAnsi="宋体" w:cs="仿宋"/>
          <w:color w:val="auto"/>
          <w:szCs w:val="21"/>
        </w:rPr>
      </w:pPr>
      <w:r>
        <w:rPr>
          <w:rFonts w:hint="eastAsia" w:hAnsi="宋体" w:cs="仿宋"/>
          <w:color w:val="auto"/>
          <w:szCs w:val="21"/>
        </w:rPr>
        <w:t>同级可以采用前置系统接入或平台接口接入方式。接口规范应符合 GDJ 083-2018，应急广播消息格式应遵循GDJ 082-2018。</w:t>
      </w:r>
    </w:p>
    <w:p>
      <w:pPr>
        <w:pStyle w:val="18"/>
        <w:spacing w:before="156" w:beforeLines="50" w:after="156" w:afterLines="50"/>
        <w:rPr>
          <w:rFonts w:eastAsia="宋体"/>
          <w:color w:val="auto"/>
        </w:rPr>
      </w:pPr>
      <w:r>
        <w:rPr>
          <w:rFonts w:hint="eastAsia"/>
          <w:color w:val="auto"/>
        </w:rPr>
        <w:tab/>
      </w:r>
      <w:bookmarkStart w:id="74" w:name="_Toc117593820"/>
      <w:r>
        <w:rPr>
          <w:rFonts w:hint="eastAsia"/>
          <w:color w:val="auto"/>
        </w:rPr>
        <w:t>应急广播终端信息接入</w:t>
      </w:r>
      <w:bookmarkEnd w:id="74"/>
    </w:p>
    <w:p>
      <w:pPr>
        <w:pStyle w:val="19"/>
        <w:rPr>
          <w:rFonts w:ascii="Times New Roman"/>
          <w:color w:val="auto"/>
        </w:rPr>
      </w:pPr>
      <w:bookmarkStart w:id="75" w:name="_Toc117593821"/>
      <w:r>
        <w:rPr>
          <w:rFonts w:hint="eastAsia" w:ascii="Times New Roman"/>
          <w:color w:val="auto"/>
        </w:rPr>
        <w:t>接入要求</w:t>
      </w:r>
      <w:bookmarkEnd w:id="75"/>
    </w:p>
    <w:p>
      <w:pPr>
        <w:widowControl/>
        <w:numPr>
          <w:ilvl w:val="0"/>
          <w:numId w:val="4"/>
        </w:numPr>
        <w:autoSpaceDE w:val="0"/>
        <w:autoSpaceDN w:val="0"/>
        <w:ind w:firstLine="420" w:firstLineChars="200"/>
        <w:rPr>
          <w:color w:val="auto"/>
          <w:kern w:val="0"/>
          <w:szCs w:val="21"/>
        </w:rPr>
      </w:pPr>
      <w:r>
        <w:rPr>
          <w:rFonts w:hint="eastAsia"/>
          <w:color w:val="auto"/>
          <w:kern w:val="0"/>
          <w:szCs w:val="21"/>
        </w:rPr>
        <w:t>应急广播终端接入应急广播平台有直接接入和间接接入两种方式。在接入前，应检查确认接入终端的类型，根据不同的类型，选择合适的接入方式。</w:t>
      </w:r>
    </w:p>
    <w:p>
      <w:pPr>
        <w:pStyle w:val="20"/>
        <w:spacing w:before="156" w:after="156"/>
        <w:rPr>
          <w:color w:val="auto"/>
        </w:rPr>
      </w:pPr>
      <w:r>
        <w:rPr>
          <w:rFonts w:hint="eastAsia"/>
          <w:color w:val="auto"/>
        </w:rPr>
        <w:t>直接接入</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对于支持应急广播广域双向通讯网传输技术规范的终端或适配器，连接好网络，应通过正确配置回传地址和指令服务地址，直接接入应急广播平台。接入后通过身份验证后，正确接收应急广播信息，并将状态及时反馈给平台。</w:t>
      </w:r>
    </w:p>
    <w:p>
      <w:pPr>
        <w:pStyle w:val="20"/>
        <w:spacing w:before="156" w:after="156"/>
        <w:rPr>
          <w:color w:val="auto"/>
        </w:rPr>
      </w:pPr>
      <w:r>
        <w:rPr>
          <w:rFonts w:hint="eastAsia"/>
          <w:color w:val="auto"/>
        </w:rPr>
        <w:t>间接接入</w:t>
      </w:r>
    </w:p>
    <w:p>
      <w:pPr>
        <w:widowControl/>
        <w:numPr>
          <w:ilvl w:val="0"/>
          <w:numId w:val="4"/>
        </w:numPr>
        <w:autoSpaceDE w:val="0"/>
        <w:autoSpaceDN w:val="0"/>
        <w:ind w:firstLine="420" w:firstLineChars="200"/>
        <w:rPr>
          <w:color w:val="auto"/>
        </w:rPr>
      </w:pPr>
      <w:r>
        <w:rPr>
          <w:rFonts w:hint="eastAsia"/>
          <w:color w:val="auto"/>
          <w:kern w:val="0"/>
          <w:szCs w:val="21"/>
        </w:rPr>
        <w:t>对于不支持应急广播技术标准规范的终端（例如公共广播设备、户外大屏、村村响设备），接入时应避免改动原有设备的结构和功能，采用应急广播适配设备进行适配无损改造接入。应急广播适配设备接入后应能自动唤醒原有间接设备，并播发应急广播消息。</w:t>
      </w:r>
    </w:p>
    <w:p>
      <w:pPr>
        <w:pStyle w:val="19"/>
        <w:rPr>
          <w:rFonts w:ascii="Times New Roman"/>
          <w:color w:val="auto"/>
        </w:rPr>
      </w:pPr>
      <w:bookmarkStart w:id="76" w:name="_Toc117593822"/>
      <w:r>
        <w:rPr>
          <w:rFonts w:hint="eastAsia" w:ascii="Times New Roman"/>
          <w:color w:val="auto"/>
        </w:rPr>
        <w:t>接入流程</w:t>
      </w:r>
      <w:bookmarkEnd w:id="76"/>
    </w:p>
    <w:p>
      <w:pPr>
        <w:pStyle w:val="14"/>
        <w:ind w:left="420" w:leftChars="200" w:firstLine="0" w:firstLineChars="0"/>
        <w:rPr>
          <w:color w:val="auto"/>
        </w:rPr>
      </w:pPr>
      <w:r>
        <w:rPr>
          <w:rFonts w:hint="eastAsia"/>
          <w:color w:val="auto"/>
        </w:rPr>
        <w:t>满足直接接入方式的应急广播终端和适配器设备，应按照以下接入流程进行操作。</w:t>
      </w:r>
    </w:p>
    <w:p>
      <w:pPr>
        <w:pStyle w:val="21"/>
        <w:numPr>
          <w:ilvl w:val="0"/>
          <w:numId w:val="6"/>
        </w:numPr>
        <w:rPr>
          <w:rFonts w:ascii="Times New Roman Regular" w:hAnsi="Times New Roman Regular" w:cs="Times New Roman Regular"/>
          <w:color w:val="auto"/>
        </w:rPr>
      </w:pPr>
      <w:r>
        <w:rPr>
          <w:rFonts w:hint="eastAsia" w:ascii="Times New Roman Regular" w:hAnsi="Times New Roman Regular" w:cs="Times New Roman Regular"/>
          <w:color w:val="auto"/>
        </w:rPr>
        <w:t>设备连接网络后，安装人员通过App扫描设备二维码或配置页面等方式，配置指令服务地址和回传地址，确认终端能够连接应急广播平台。</w:t>
      </w:r>
    </w:p>
    <w:p>
      <w:pPr>
        <w:pStyle w:val="21"/>
        <w:numPr>
          <w:ilvl w:val="0"/>
          <w:numId w:val="6"/>
        </w:numPr>
        <w:rPr>
          <w:rFonts w:ascii="Times New Roman Regular" w:hAnsi="Times New Roman Regular" w:cs="Times New Roman Regular"/>
          <w:color w:val="auto"/>
        </w:rPr>
      </w:pPr>
      <w:r>
        <w:rPr>
          <w:rFonts w:hint="eastAsia" w:ascii="Times New Roman Regular" w:hAnsi="Times New Roman Regular" w:cs="Times New Roman Regular"/>
          <w:color w:val="auto"/>
        </w:rPr>
        <w:t>设备连接应急广播平台后，周期性发送注册心跳包，主动向上汇报运行状态。心跳数据包包含终端工作状态、首次注册标识、物理地址编码长度、物理地址编码等信息。</w:t>
      </w:r>
    </w:p>
    <w:p>
      <w:pPr>
        <w:pStyle w:val="21"/>
        <w:numPr>
          <w:ilvl w:val="0"/>
          <w:numId w:val="6"/>
        </w:numPr>
        <w:rPr>
          <w:rFonts w:ascii="Times New Roman Regular" w:hAnsi="Times New Roman Regular" w:cs="Times New Roman Regular"/>
          <w:color w:val="auto"/>
        </w:rPr>
      </w:pPr>
      <w:r>
        <w:rPr>
          <w:rFonts w:hint="eastAsia" w:ascii="Times New Roman Regular" w:hAnsi="Times New Roman Regular" w:cs="Times New Roman Regular"/>
          <w:color w:val="auto"/>
        </w:rPr>
        <w:t>应急广播平台根据终端物理地址编码对注册的终端进行身份信息确认，确认是合法的终端，则进行信息编辑，完善终端信息并进行配置下发。非法的终端，则配置禁止访问，纳入黑名单中。</w:t>
      </w:r>
    </w:p>
    <w:p>
      <w:pPr>
        <w:pStyle w:val="19"/>
        <w:rPr>
          <w:rFonts w:ascii="Times New Roman"/>
          <w:color w:val="auto"/>
        </w:rPr>
      </w:pPr>
      <w:bookmarkStart w:id="77" w:name="_Toc117593823"/>
      <w:r>
        <w:rPr>
          <w:rFonts w:hint="eastAsia" w:ascii="Times New Roman"/>
          <w:color w:val="auto"/>
        </w:rPr>
        <w:t>接入后管理</w:t>
      </w:r>
      <w:bookmarkEnd w:id="77"/>
    </w:p>
    <w:p>
      <w:pPr>
        <w:pStyle w:val="20"/>
        <w:spacing w:before="156" w:after="156"/>
        <w:rPr>
          <w:color w:val="auto"/>
        </w:rPr>
      </w:pPr>
      <w:r>
        <w:rPr>
          <w:rFonts w:hint="eastAsia"/>
          <w:color w:val="auto"/>
        </w:rPr>
        <w:t>设备管理</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已接入的终端设备通过周期性的心跳上报状态信息。平台通过检测终端心跳，记录终端设备的在线运行情况，并形成在线率统计报表。</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所有设备供应商配合设备接入单位负责设备的运行维护、监督和播出效果管理，定时对设备进行维护和维修，并做好设备故障维修记录。</w:t>
      </w:r>
    </w:p>
    <w:p>
      <w:pPr>
        <w:pStyle w:val="20"/>
        <w:spacing w:before="156" w:after="156"/>
        <w:rPr>
          <w:color w:val="auto"/>
        </w:rPr>
      </w:pPr>
      <w:r>
        <w:rPr>
          <w:rFonts w:hint="eastAsia"/>
          <w:color w:val="auto"/>
        </w:rPr>
        <w:t>信息安全管理</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设备接入后，需要开启应急广播消息安全证书验证功能，保证信息传输过程中的安全。</w:t>
      </w:r>
    </w:p>
    <w:p>
      <w:pPr>
        <w:widowControl/>
        <w:numPr>
          <w:ilvl w:val="0"/>
          <w:numId w:val="4"/>
        </w:numPr>
        <w:autoSpaceDE w:val="0"/>
        <w:autoSpaceDN w:val="0"/>
        <w:ind w:firstLine="420" w:firstLineChars="200"/>
        <w:rPr>
          <w:color w:val="auto"/>
          <w:kern w:val="0"/>
          <w:szCs w:val="21"/>
        </w:rPr>
      </w:pPr>
      <w:r>
        <w:rPr>
          <w:rFonts w:hint="eastAsia"/>
          <w:color w:val="auto"/>
          <w:kern w:val="0"/>
          <w:szCs w:val="21"/>
        </w:rPr>
        <w:t>设备接入后，设备接入单位严格管理设备的本地化广播应用，设备供应商配合设备接入单位保障广播系统的信息安全。</w:t>
      </w:r>
    </w:p>
    <w:p>
      <w:pPr>
        <w:pStyle w:val="18"/>
        <w:spacing w:before="156" w:beforeLines="50" w:after="156" w:afterLines="50"/>
        <w:rPr>
          <w:color w:val="auto"/>
        </w:rPr>
      </w:pPr>
      <w:r>
        <w:rPr>
          <w:rFonts w:hint="eastAsia"/>
          <w:color w:val="auto"/>
        </w:rPr>
        <w:tab/>
      </w:r>
      <w:bookmarkStart w:id="78" w:name="_Toc117593824"/>
      <w:r>
        <w:rPr>
          <w:rFonts w:hint="eastAsia"/>
          <w:color w:val="auto"/>
        </w:rPr>
        <w:t>应急信息接入格式</w:t>
      </w:r>
      <w:bookmarkEnd w:id="78"/>
    </w:p>
    <w:p>
      <w:pPr>
        <w:pStyle w:val="14"/>
        <w:rPr>
          <w:color w:val="auto"/>
        </w:rPr>
      </w:pPr>
      <w:r>
        <w:rPr>
          <w:rFonts w:hint="eastAsia"/>
          <w:color w:val="auto"/>
        </w:rPr>
        <w:t>通用信息接入信息格式应符合GD/J083-2018的要求，应急广播平台信息格式在GD/J083-2018基础上，扩展项具体格式参考附录A。</w:t>
      </w:r>
    </w:p>
    <w:p>
      <w:pPr>
        <w:pStyle w:val="14"/>
        <w:ind w:firstLine="0" w:firstLineChars="0"/>
        <w:rPr>
          <w:color w:val="auto"/>
        </w:rPr>
      </w:pPr>
    </w:p>
    <w:p>
      <w:pPr>
        <w:pStyle w:val="14"/>
        <w:rPr>
          <w:color w:val="auto"/>
        </w:rPr>
      </w:pPr>
    </w:p>
    <w:p>
      <w:pPr>
        <w:pStyle w:val="14"/>
        <w:ind w:firstLine="0" w:firstLineChars="0"/>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p>
    <w:p>
      <w:pPr>
        <w:pStyle w:val="14"/>
        <w:rPr>
          <w:color w:val="auto"/>
        </w:rPr>
      </w:pPr>
      <w:r>
        <w:rPr>
          <w:color w:val="auto"/>
        </w:rPr>
        <w:br w:type="page"/>
      </w:r>
    </w:p>
    <w:p>
      <w:pPr>
        <w:pStyle w:val="19"/>
        <w:numPr>
          <w:ilvl w:val="0"/>
          <w:numId w:val="0"/>
        </w:numPr>
        <w:tabs>
          <w:tab w:val="clear" w:pos="0"/>
        </w:tabs>
        <w:jc w:val="center"/>
        <w:outlineLvl w:val="1"/>
        <w:rPr>
          <w:rFonts w:ascii="Times New Roman"/>
          <w:color w:val="auto"/>
        </w:rPr>
      </w:pPr>
      <w:bookmarkStart w:id="79" w:name="_Toc117593825"/>
      <w:r>
        <w:rPr>
          <w:rFonts w:ascii="Times New Roman"/>
          <w:color w:val="auto"/>
        </w:rPr>
        <w:t>附 录 A</w:t>
      </w:r>
      <w:bookmarkEnd w:id="79"/>
    </w:p>
    <w:p>
      <w:pPr>
        <w:pStyle w:val="19"/>
        <w:numPr>
          <w:ilvl w:val="0"/>
          <w:numId w:val="0"/>
        </w:numPr>
        <w:tabs>
          <w:tab w:val="clear" w:pos="0"/>
        </w:tabs>
        <w:jc w:val="center"/>
        <w:outlineLvl w:val="1"/>
        <w:rPr>
          <w:rFonts w:ascii="Times New Roman"/>
          <w:color w:val="auto"/>
        </w:rPr>
      </w:pPr>
      <w:bookmarkStart w:id="80" w:name="_Toc117593826"/>
      <w:r>
        <w:rPr>
          <w:rFonts w:hint="eastAsia" w:ascii="Times New Roman"/>
          <w:color w:val="auto"/>
        </w:rPr>
        <w:t>（规范性）</w:t>
      </w:r>
      <w:bookmarkEnd w:id="80"/>
    </w:p>
    <w:p>
      <w:pPr>
        <w:pStyle w:val="2"/>
        <w:keepNext/>
        <w:numPr>
          <w:ilvl w:val="0"/>
          <w:numId w:val="4"/>
        </w:numPr>
        <w:jc w:val="center"/>
        <w:rPr>
          <w:rFonts w:ascii="Times New Roman" w:hAnsi="Times New Roman" w:cs="Times New Roman"/>
          <w:color w:val="auto"/>
          <w:kern w:val="0"/>
          <w:sz w:val="21"/>
          <w:szCs w:val="21"/>
        </w:rPr>
      </w:pPr>
      <w:r>
        <w:rPr>
          <w:rFonts w:hint="eastAsia" w:ascii="Times New Roman" w:hAnsi="Times New Roman" w:cs="Times New Roman"/>
          <w:color w:val="auto"/>
          <w:kern w:val="0"/>
          <w:sz w:val="21"/>
          <w:szCs w:val="21"/>
        </w:rPr>
        <w:t>应急广播平台信息字段扩展</w:t>
      </w:r>
    </w:p>
    <w:p>
      <w:pPr>
        <w:rPr>
          <w:color w:val="auto"/>
        </w:rPr>
      </w:pPr>
    </w:p>
    <w:p>
      <w:pPr>
        <w:pStyle w:val="19"/>
        <w:numPr>
          <w:ilvl w:val="0"/>
          <w:numId w:val="7"/>
        </w:numPr>
        <w:rPr>
          <w:rFonts w:ascii="Times New Roman"/>
          <w:color w:val="auto"/>
        </w:rPr>
      </w:pPr>
      <w:bookmarkStart w:id="81" w:name="_Toc117593827"/>
      <w:r>
        <w:rPr>
          <w:rFonts w:hint="eastAsia" w:ascii="Times New Roman"/>
          <w:color w:val="auto"/>
        </w:rPr>
        <w:t>1 应急广播平台信息TAR文件</w:t>
      </w:r>
      <w:bookmarkEnd w:id="81"/>
    </w:p>
    <w:p>
      <w:pPr>
        <w:spacing w:line="520" w:lineRule="exact"/>
        <w:ind w:firstLine="360"/>
        <w:jc w:val="left"/>
        <w:rPr>
          <w:rFonts w:eastAsia="宋体"/>
          <w:color w:val="auto"/>
          <w:lang w:eastAsia="zh-Hans"/>
        </w:rPr>
      </w:pPr>
      <w:r>
        <w:rPr>
          <w:color w:val="auto"/>
        </w:rPr>
        <w:t>增加</w:t>
      </w:r>
      <w:r>
        <w:rPr>
          <w:rFonts w:hint="eastAsia"/>
          <w:color w:val="auto"/>
        </w:rPr>
        <w:t>乡镇数量</w:t>
      </w:r>
      <w:r>
        <w:rPr>
          <w:color w:val="auto"/>
        </w:rPr>
        <w:t>、</w:t>
      </w:r>
      <w:r>
        <w:rPr>
          <w:rFonts w:hint="eastAsia"/>
          <w:color w:val="auto"/>
        </w:rPr>
        <w:t>村数量</w:t>
      </w:r>
      <w:r>
        <w:rPr>
          <w:color w:val="auto"/>
        </w:rPr>
        <w:t>、传输播出覆盖设备数量、适配器数量、终端数量和台站数</w:t>
      </w:r>
      <w:r>
        <w:rPr>
          <w:rFonts w:hint="eastAsia"/>
          <w:color w:val="auto"/>
          <w:lang w:eastAsia="zh-Hans"/>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0"/>
        <w:gridCol w:w="1696"/>
        <w:gridCol w:w="3600"/>
        <w:gridCol w:w="426"/>
        <w:gridCol w:w="577"/>
        <w:gridCol w:w="19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jc w:val="center"/>
              <w:rPr>
                <w:color w:val="auto"/>
              </w:rPr>
            </w:pPr>
            <w:r>
              <w:rPr>
                <w:color w:val="auto"/>
              </w:rPr>
              <w:t>定义</w:t>
            </w:r>
          </w:p>
        </w:tc>
        <w:tc>
          <w:tcPr>
            <w:tcW w:w="994" w:type="pct"/>
            <w:vAlign w:val="center"/>
          </w:tcPr>
          <w:p>
            <w:pPr>
              <w:jc w:val="center"/>
              <w:rPr>
                <w:color w:val="auto"/>
              </w:rPr>
            </w:pPr>
            <w:r>
              <w:rPr>
                <w:color w:val="auto"/>
              </w:rPr>
              <w:t>名称</w:t>
            </w:r>
          </w:p>
        </w:tc>
        <w:tc>
          <w:tcPr>
            <w:tcW w:w="1177" w:type="pct"/>
            <w:vAlign w:val="center"/>
          </w:tcPr>
          <w:p>
            <w:pPr>
              <w:jc w:val="center"/>
              <w:rPr>
                <w:color w:val="auto"/>
              </w:rPr>
            </w:pPr>
            <w:r>
              <w:rPr>
                <w:color w:val="auto"/>
              </w:rPr>
              <w:t>层次关系</w:t>
            </w:r>
          </w:p>
        </w:tc>
        <w:tc>
          <w:tcPr>
            <w:tcW w:w="337" w:type="pct"/>
            <w:vAlign w:val="center"/>
          </w:tcPr>
          <w:p>
            <w:pPr>
              <w:jc w:val="center"/>
              <w:rPr>
                <w:color w:val="auto"/>
              </w:rPr>
            </w:pPr>
            <w:r>
              <w:rPr>
                <w:color w:val="auto"/>
              </w:rPr>
              <w:t>属性</w:t>
            </w:r>
          </w:p>
        </w:tc>
        <w:tc>
          <w:tcPr>
            <w:tcW w:w="501" w:type="pct"/>
            <w:vAlign w:val="center"/>
          </w:tcPr>
          <w:p>
            <w:pPr>
              <w:jc w:val="center"/>
              <w:rPr>
                <w:color w:val="auto"/>
              </w:rPr>
            </w:pPr>
            <w:r>
              <w:rPr>
                <w:color w:val="auto"/>
              </w:rPr>
              <w:t>必/可选</w:t>
            </w:r>
          </w:p>
        </w:tc>
        <w:tc>
          <w:tcPr>
            <w:tcW w:w="1181" w:type="pct"/>
            <w:vAlign w:val="center"/>
          </w:tcPr>
          <w:p>
            <w:pPr>
              <w:jc w:val="center"/>
              <w:rPr>
                <w:color w:val="auto"/>
              </w:rPr>
            </w:pPr>
            <w:r>
              <w:rPr>
                <w:color w:val="auto"/>
              </w:rPr>
              <w:t>注释/取值范围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台站(前端)</w:t>
            </w:r>
            <w:r>
              <w:rPr>
                <w:rFonts w:hint="eastAsia"/>
                <w:color w:val="auto"/>
              </w:rPr>
              <w:t xml:space="preserve"> 规划</w:t>
            </w:r>
            <w:r>
              <w:rPr>
                <w:color w:val="auto"/>
              </w:rPr>
              <w:t>数量</w:t>
            </w:r>
          </w:p>
        </w:tc>
        <w:tc>
          <w:tcPr>
            <w:tcW w:w="994" w:type="pct"/>
            <w:vAlign w:val="center"/>
          </w:tcPr>
          <w:p>
            <w:pPr>
              <w:rPr>
                <w:color w:val="auto"/>
              </w:rPr>
            </w:pPr>
            <w:r>
              <w:rPr>
                <w:rFonts w:hint="eastAsia"/>
                <w:color w:val="auto"/>
              </w:rPr>
              <w:t>P</w:t>
            </w:r>
            <w:r>
              <w:rPr>
                <w:color w:val="auto"/>
              </w:rPr>
              <w:t>EBRST</w:t>
            </w:r>
            <w:r>
              <w:rPr>
                <w:rFonts w:hint="eastAsia"/>
                <w:color w:val="auto"/>
              </w:rPr>
              <w:t>Num</w:t>
            </w:r>
          </w:p>
        </w:tc>
        <w:tc>
          <w:tcPr>
            <w:tcW w:w="1177" w:type="pct"/>
          </w:tcPr>
          <w:p>
            <w:pPr>
              <w:rPr>
                <w:color w:val="auto"/>
              </w:rPr>
            </w:pPr>
            <w:r>
              <w:rPr>
                <w:color w:val="auto"/>
              </w:rPr>
              <w:t>EBD.EBRPSInfo.EBRPS.</w:t>
            </w:r>
            <w:r>
              <w:rPr>
                <w:rFonts w:hint="eastAsia"/>
                <w:color w:val="auto"/>
              </w:rPr>
              <w:t>P</w:t>
            </w:r>
            <w:r>
              <w:rPr>
                <w:color w:val="auto"/>
              </w:rPr>
              <w:t>EBRST</w:t>
            </w:r>
            <w:r>
              <w:rPr>
                <w:rFonts w:hint="eastAsia"/>
                <w:color w:val="auto"/>
              </w:rPr>
              <w:t>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以项目标书数量为准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适配器</w:t>
            </w:r>
            <w:r>
              <w:rPr>
                <w:rFonts w:hint="eastAsia"/>
                <w:color w:val="auto"/>
              </w:rPr>
              <w:t>规划</w:t>
            </w:r>
            <w:r>
              <w:rPr>
                <w:color w:val="auto"/>
              </w:rPr>
              <w:t>数量</w:t>
            </w:r>
          </w:p>
        </w:tc>
        <w:tc>
          <w:tcPr>
            <w:tcW w:w="994" w:type="pct"/>
            <w:vAlign w:val="center"/>
          </w:tcPr>
          <w:p>
            <w:pPr>
              <w:rPr>
                <w:color w:val="auto"/>
              </w:rPr>
            </w:pPr>
            <w:r>
              <w:rPr>
                <w:rFonts w:hint="eastAsia"/>
                <w:color w:val="auto"/>
              </w:rPr>
              <w:t>P</w:t>
            </w:r>
            <w:r>
              <w:rPr>
                <w:color w:val="auto"/>
              </w:rPr>
              <w:t>EBRAS</w:t>
            </w:r>
            <w:r>
              <w:rPr>
                <w:rFonts w:hint="eastAsia"/>
                <w:color w:val="auto"/>
              </w:rPr>
              <w:t>Num</w:t>
            </w:r>
          </w:p>
        </w:tc>
        <w:tc>
          <w:tcPr>
            <w:tcW w:w="1177" w:type="pct"/>
          </w:tcPr>
          <w:p>
            <w:pPr>
              <w:rPr>
                <w:color w:val="auto"/>
              </w:rPr>
            </w:pPr>
            <w:r>
              <w:rPr>
                <w:color w:val="auto"/>
              </w:rPr>
              <w:t>EBD.EBRPSInfo.EBRPS.</w:t>
            </w:r>
            <w:r>
              <w:rPr>
                <w:rFonts w:hint="eastAsia"/>
                <w:color w:val="auto"/>
              </w:rPr>
              <w:t>P</w:t>
            </w:r>
            <w:r>
              <w:rPr>
                <w:color w:val="auto"/>
              </w:rPr>
              <w:t>EBRAS</w:t>
            </w:r>
            <w:r>
              <w:rPr>
                <w:rFonts w:hint="eastAsia"/>
                <w:color w:val="auto"/>
              </w:rPr>
              <w:t>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以项目标书数量为准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传输播出覆盖设备</w:t>
            </w:r>
            <w:r>
              <w:rPr>
                <w:rFonts w:hint="eastAsia"/>
                <w:color w:val="auto"/>
              </w:rPr>
              <w:t>规划</w:t>
            </w:r>
            <w:r>
              <w:rPr>
                <w:color w:val="auto"/>
              </w:rPr>
              <w:t>数量</w:t>
            </w:r>
          </w:p>
        </w:tc>
        <w:tc>
          <w:tcPr>
            <w:tcW w:w="994" w:type="pct"/>
            <w:vAlign w:val="center"/>
          </w:tcPr>
          <w:p>
            <w:pPr>
              <w:rPr>
                <w:color w:val="auto"/>
              </w:rPr>
            </w:pPr>
            <w:r>
              <w:rPr>
                <w:rFonts w:hint="eastAsia"/>
                <w:color w:val="auto"/>
              </w:rPr>
              <w:t>P</w:t>
            </w:r>
            <w:r>
              <w:rPr>
                <w:color w:val="auto"/>
              </w:rPr>
              <w:t>EBRBS</w:t>
            </w:r>
            <w:r>
              <w:rPr>
                <w:rFonts w:hint="eastAsia"/>
                <w:color w:val="auto"/>
              </w:rPr>
              <w:t>Num</w:t>
            </w:r>
          </w:p>
        </w:tc>
        <w:tc>
          <w:tcPr>
            <w:tcW w:w="1177" w:type="pct"/>
          </w:tcPr>
          <w:p>
            <w:pPr>
              <w:rPr>
                <w:color w:val="auto"/>
              </w:rPr>
            </w:pPr>
            <w:r>
              <w:rPr>
                <w:color w:val="auto"/>
              </w:rPr>
              <w:t>EBD.EBRPSInfo.EBRPS.</w:t>
            </w:r>
            <w:r>
              <w:rPr>
                <w:rFonts w:hint="eastAsia"/>
                <w:color w:val="auto"/>
              </w:rPr>
              <w:t>P</w:t>
            </w:r>
            <w:r>
              <w:rPr>
                <w:color w:val="auto"/>
              </w:rPr>
              <w:t>EBRBS</w:t>
            </w:r>
            <w:r>
              <w:rPr>
                <w:rFonts w:hint="eastAsia"/>
                <w:color w:val="auto"/>
              </w:rPr>
              <w:t>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以项目标书数量为准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rFonts w:hint="eastAsia"/>
                <w:color w:val="auto"/>
              </w:rPr>
              <w:t>平台设备及</w:t>
            </w:r>
            <w:r>
              <w:rPr>
                <w:color w:val="auto"/>
              </w:rPr>
              <w:t>终端</w:t>
            </w:r>
            <w:r>
              <w:rPr>
                <w:rFonts w:hint="eastAsia"/>
                <w:color w:val="auto"/>
              </w:rPr>
              <w:t>规划</w:t>
            </w:r>
            <w:r>
              <w:rPr>
                <w:color w:val="auto"/>
              </w:rPr>
              <w:t>数量</w:t>
            </w:r>
          </w:p>
        </w:tc>
        <w:tc>
          <w:tcPr>
            <w:tcW w:w="994" w:type="pct"/>
            <w:vAlign w:val="center"/>
          </w:tcPr>
          <w:p>
            <w:pPr>
              <w:rPr>
                <w:color w:val="auto"/>
              </w:rPr>
            </w:pPr>
            <w:r>
              <w:rPr>
                <w:rFonts w:hint="eastAsia"/>
                <w:color w:val="auto"/>
              </w:rPr>
              <w:t>P</w:t>
            </w:r>
            <w:r>
              <w:rPr>
                <w:color w:val="auto"/>
              </w:rPr>
              <w:t>EBRDT</w:t>
            </w:r>
            <w:r>
              <w:rPr>
                <w:rFonts w:hint="eastAsia"/>
                <w:color w:val="auto"/>
              </w:rPr>
              <w:t>Num</w:t>
            </w:r>
          </w:p>
        </w:tc>
        <w:tc>
          <w:tcPr>
            <w:tcW w:w="1177" w:type="pct"/>
          </w:tcPr>
          <w:p>
            <w:pPr>
              <w:rPr>
                <w:color w:val="auto"/>
              </w:rPr>
            </w:pPr>
            <w:r>
              <w:rPr>
                <w:color w:val="auto"/>
              </w:rPr>
              <w:t>EBD.EBRPSInfo.EBRPS.</w:t>
            </w:r>
            <w:r>
              <w:rPr>
                <w:rFonts w:hint="eastAsia"/>
                <w:color w:val="auto"/>
              </w:rPr>
              <w:t>P</w:t>
            </w:r>
            <w:r>
              <w:rPr>
                <w:color w:val="auto"/>
              </w:rPr>
              <w:t>EBRDT</w:t>
            </w:r>
            <w:r>
              <w:rPr>
                <w:rFonts w:hint="eastAsia"/>
                <w:color w:val="auto"/>
              </w:rPr>
              <w:t>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以项目标书数量为准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rFonts w:hint="eastAsia"/>
                <w:color w:val="auto"/>
              </w:rPr>
              <w:t>乡镇级点数量</w:t>
            </w:r>
          </w:p>
        </w:tc>
        <w:tc>
          <w:tcPr>
            <w:tcW w:w="994" w:type="pct"/>
            <w:vAlign w:val="center"/>
          </w:tcPr>
          <w:p>
            <w:pPr>
              <w:rPr>
                <w:color w:val="auto"/>
              </w:rPr>
            </w:pPr>
            <w:r>
              <w:rPr>
                <w:rFonts w:hint="eastAsia"/>
                <w:color w:val="auto"/>
              </w:rPr>
              <w:t>TownNum</w:t>
            </w:r>
          </w:p>
        </w:tc>
        <w:tc>
          <w:tcPr>
            <w:tcW w:w="1177" w:type="pct"/>
          </w:tcPr>
          <w:p>
            <w:pPr>
              <w:rPr>
                <w:color w:val="auto"/>
              </w:rPr>
            </w:pPr>
            <w:r>
              <w:rPr>
                <w:color w:val="auto"/>
              </w:rPr>
              <w:t>EBD.EBRPSInfo.EBRPS.</w:t>
            </w:r>
            <w:r>
              <w:rPr>
                <w:rFonts w:hint="eastAsia"/>
                <w:color w:val="auto"/>
              </w:rPr>
              <w:t>TownNum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乡镇数量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rFonts w:hint="eastAsia"/>
                <w:color w:val="auto"/>
              </w:rPr>
              <w:t>村级点数量</w:t>
            </w:r>
          </w:p>
        </w:tc>
        <w:tc>
          <w:tcPr>
            <w:tcW w:w="994" w:type="pct"/>
            <w:vAlign w:val="center"/>
          </w:tcPr>
          <w:p>
            <w:pPr>
              <w:rPr>
                <w:color w:val="auto"/>
              </w:rPr>
            </w:pPr>
            <w:r>
              <w:rPr>
                <w:rFonts w:hint="eastAsia"/>
                <w:color w:val="auto"/>
              </w:rPr>
              <w:t>VillageNum</w:t>
            </w:r>
          </w:p>
        </w:tc>
        <w:tc>
          <w:tcPr>
            <w:tcW w:w="1177" w:type="pct"/>
          </w:tcPr>
          <w:p>
            <w:pPr>
              <w:rPr>
                <w:color w:val="auto"/>
              </w:rPr>
            </w:pPr>
            <w:r>
              <w:rPr>
                <w:color w:val="auto"/>
              </w:rPr>
              <w:t>EBD.EBRPSInfo.EBRPS.</w:t>
            </w:r>
            <w:r>
              <w:rPr>
                <w:rFonts w:hint="eastAsia"/>
                <w:color w:val="auto"/>
              </w:rPr>
              <w:t>VillageNum</w:t>
            </w:r>
          </w:p>
        </w:tc>
        <w:tc>
          <w:tcPr>
            <w:tcW w:w="337" w:type="pct"/>
            <w:vAlign w:val="center"/>
          </w:tcPr>
          <w:p>
            <w:pPr>
              <w:jc w:val="center"/>
              <w:rPr>
                <w:color w:val="auto"/>
              </w:rPr>
            </w:pPr>
            <w:r>
              <w:rPr>
                <w:rFonts w:hint="eastAsia"/>
                <w:color w:val="auto"/>
              </w:rPr>
              <w:t>整数</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村数量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覆盖人口</w:t>
            </w:r>
          </w:p>
        </w:tc>
        <w:tc>
          <w:tcPr>
            <w:tcW w:w="994" w:type="pct"/>
            <w:vAlign w:val="center"/>
          </w:tcPr>
          <w:p>
            <w:pPr>
              <w:rPr>
                <w:color w:val="auto"/>
              </w:rPr>
            </w:pPr>
            <w:r>
              <w:rPr>
                <w:color w:val="auto"/>
              </w:rPr>
              <w:t>Population</w:t>
            </w:r>
          </w:p>
        </w:tc>
        <w:tc>
          <w:tcPr>
            <w:tcW w:w="1177" w:type="pct"/>
          </w:tcPr>
          <w:p>
            <w:pPr>
              <w:rPr>
                <w:color w:val="auto"/>
              </w:rPr>
            </w:pPr>
            <w:r>
              <w:rPr>
                <w:color w:val="auto"/>
              </w:rPr>
              <w:t>EBD.EBRPSInfo.EBRPS.Population</w:t>
            </w:r>
          </w:p>
        </w:tc>
        <w:tc>
          <w:tcPr>
            <w:tcW w:w="337" w:type="pct"/>
            <w:vAlign w:val="center"/>
          </w:tcPr>
          <w:p>
            <w:pPr>
              <w:jc w:val="center"/>
              <w:rPr>
                <w:color w:val="auto"/>
              </w:rPr>
            </w:pPr>
            <w:r>
              <w:rPr>
                <w:rFonts w:hint="eastAsia"/>
                <w:color w:val="auto"/>
              </w:rPr>
              <w:t>浮点数</w:t>
            </w:r>
          </w:p>
        </w:tc>
        <w:tc>
          <w:tcPr>
            <w:tcW w:w="501" w:type="pct"/>
            <w:vAlign w:val="center"/>
          </w:tcPr>
          <w:p>
            <w:pPr>
              <w:jc w:val="center"/>
              <w:rPr>
                <w:color w:val="auto"/>
              </w:rPr>
            </w:pPr>
            <w:r>
              <w:rPr>
                <w:color w:val="auto"/>
              </w:rPr>
              <w:t>必选</w:t>
            </w:r>
          </w:p>
        </w:tc>
        <w:tc>
          <w:tcPr>
            <w:tcW w:w="1181" w:type="pct"/>
            <w:vAlign w:val="center"/>
          </w:tcPr>
          <w:p>
            <w:pPr>
              <w:rPr>
                <w:color w:val="auto"/>
              </w:rPr>
            </w:pPr>
            <w:r>
              <w:rPr>
                <w:color w:val="auto"/>
              </w:rPr>
              <w:t>单位为万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覆盖面积</w:t>
            </w:r>
          </w:p>
        </w:tc>
        <w:tc>
          <w:tcPr>
            <w:tcW w:w="994" w:type="pct"/>
            <w:vAlign w:val="center"/>
          </w:tcPr>
          <w:p>
            <w:pPr>
              <w:rPr>
                <w:color w:val="auto"/>
              </w:rPr>
            </w:pPr>
            <w:r>
              <w:rPr>
                <w:color w:val="auto"/>
              </w:rPr>
              <w:t>Square</w:t>
            </w:r>
          </w:p>
        </w:tc>
        <w:tc>
          <w:tcPr>
            <w:tcW w:w="1177" w:type="pct"/>
          </w:tcPr>
          <w:p>
            <w:pPr>
              <w:rPr>
                <w:color w:val="auto"/>
              </w:rPr>
            </w:pPr>
            <w:r>
              <w:rPr>
                <w:color w:val="auto"/>
              </w:rPr>
              <w:t>EBD.EBRPSInfo.EBRPS.Square</w:t>
            </w:r>
          </w:p>
        </w:tc>
        <w:tc>
          <w:tcPr>
            <w:tcW w:w="337" w:type="pct"/>
            <w:vAlign w:val="center"/>
          </w:tcPr>
          <w:p>
            <w:pPr>
              <w:jc w:val="center"/>
              <w:rPr>
                <w:color w:val="auto"/>
              </w:rPr>
            </w:pPr>
            <w:r>
              <w:rPr>
                <w:color w:val="auto"/>
              </w:rPr>
              <w:t>字符串</w:t>
            </w:r>
          </w:p>
        </w:tc>
        <w:tc>
          <w:tcPr>
            <w:tcW w:w="501" w:type="pct"/>
            <w:vAlign w:val="center"/>
          </w:tcPr>
          <w:p>
            <w:pPr>
              <w:jc w:val="center"/>
              <w:rPr>
                <w:color w:val="auto"/>
              </w:rPr>
            </w:pPr>
            <w:r>
              <w:rPr>
                <w:color w:val="auto"/>
              </w:rPr>
              <w:t>必选</w:t>
            </w:r>
          </w:p>
        </w:tc>
        <w:tc>
          <w:tcPr>
            <w:tcW w:w="1181" w:type="pct"/>
            <w:vAlign w:val="center"/>
          </w:tcPr>
          <w:p>
            <w:pPr>
              <w:rPr>
                <w:color w:val="auto"/>
              </w:rPr>
            </w:pPr>
            <w:r>
              <w:rPr>
                <w:color w:val="auto"/>
              </w:rPr>
              <w:t>单位为万平方米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color w:val="auto"/>
              </w:rPr>
              <w:t>覆盖方式</w:t>
            </w:r>
          </w:p>
        </w:tc>
        <w:tc>
          <w:tcPr>
            <w:tcW w:w="994" w:type="pct"/>
            <w:vAlign w:val="center"/>
          </w:tcPr>
          <w:p>
            <w:pPr>
              <w:rPr>
                <w:color w:val="auto"/>
              </w:rPr>
            </w:pPr>
            <w:r>
              <w:rPr>
                <w:color w:val="auto"/>
              </w:rPr>
              <w:t>M</w:t>
            </w:r>
            <w:r>
              <w:rPr>
                <w:rFonts w:hint="eastAsia"/>
                <w:color w:val="auto"/>
              </w:rPr>
              <w:t>ulching</w:t>
            </w:r>
            <w:r>
              <w:rPr>
                <w:color w:val="auto"/>
              </w:rPr>
              <w:t>M</w:t>
            </w:r>
            <w:r>
              <w:rPr>
                <w:rFonts w:hint="eastAsia"/>
                <w:color w:val="auto"/>
              </w:rPr>
              <w:t>ethod</w:t>
            </w:r>
          </w:p>
        </w:tc>
        <w:tc>
          <w:tcPr>
            <w:tcW w:w="1177" w:type="pct"/>
          </w:tcPr>
          <w:p>
            <w:pPr>
              <w:rPr>
                <w:color w:val="auto"/>
              </w:rPr>
            </w:pPr>
            <w:r>
              <w:rPr>
                <w:color w:val="auto"/>
              </w:rPr>
              <w:t>EBD.EBRPSInfo.EBRPS.M</w:t>
            </w:r>
            <w:r>
              <w:rPr>
                <w:rFonts w:hint="eastAsia"/>
                <w:color w:val="auto"/>
              </w:rPr>
              <w:t>ulching</w:t>
            </w:r>
            <w:r>
              <w:rPr>
                <w:color w:val="auto"/>
              </w:rPr>
              <w:t>M</w:t>
            </w:r>
            <w:r>
              <w:rPr>
                <w:rFonts w:hint="eastAsia"/>
                <w:color w:val="auto"/>
              </w:rPr>
              <w:t>ethod</w:t>
            </w:r>
          </w:p>
        </w:tc>
        <w:tc>
          <w:tcPr>
            <w:tcW w:w="337" w:type="pct"/>
            <w:vAlign w:val="center"/>
          </w:tcPr>
          <w:p>
            <w:pPr>
              <w:jc w:val="center"/>
              <w:rPr>
                <w:color w:val="auto"/>
              </w:rPr>
            </w:pPr>
            <w:r>
              <w:rPr>
                <w:color w:val="auto"/>
              </w:rPr>
              <w:t>字符串</w:t>
            </w:r>
          </w:p>
        </w:tc>
        <w:tc>
          <w:tcPr>
            <w:tcW w:w="501" w:type="pct"/>
            <w:vAlign w:val="center"/>
          </w:tcPr>
          <w:p>
            <w:pPr>
              <w:jc w:val="center"/>
              <w:rPr>
                <w:color w:val="auto"/>
              </w:rPr>
            </w:pPr>
            <w:r>
              <w:rPr>
                <w:color w:val="auto"/>
              </w:rPr>
              <w:t>必选</w:t>
            </w:r>
          </w:p>
        </w:tc>
        <w:tc>
          <w:tcPr>
            <w:tcW w:w="1181" w:type="pct"/>
            <w:vAlign w:val="center"/>
          </w:tcPr>
          <w:p>
            <w:pPr>
              <w:rPr>
                <w:color w:val="auto"/>
              </w:rPr>
            </w:pPr>
            <w:r>
              <w:rPr>
                <w:rFonts w:hint="eastAsia"/>
                <w:color w:val="auto"/>
              </w:rPr>
              <w:t>填入项目的所有覆盖方式，可以包括多种,格式为JSON字符串</w:t>
            </w:r>
            <w:r>
              <w:rPr>
                <w:color w:val="auto"/>
              </w:rPr>
              <w:t>：</w:t>
            </w:r>
          </w:p>
          <w:p>
            <w:pPr>
              <w:rPr>
                <w:color w:val="auto"/>
              </w:rPr>
            </w:pPr>
            <w:r>
              <w:rPr>
                <w:rFonts w:hint="eastAsia"/>
                <w:color w:val="auto"/>
              </w:rPr>
              <w:t>1.</w:t>
            </w:r>
            <w:r>
              <w:rPr>
                <w:color w:val="auto"/>
              </w:rPr>
              <w:t>有线IP覆盖</w:t>
            </w:r>
          </w:p>
          <w:p>
            <w:pPr>
              <w:rPr>
                <w:color w:val="auto"/>
              </w:rPr>
            </w:pPr>
            <w:r>
              <w:rPr>
                <w:rFonts w:hint="eastAsia"/>
                <w:color w:val="auto"/>
              </w:rPr>
              <w:t>2.</w:t>
            </w:r>
            <w:r>
              <w:rPr>
                <w:color w:val="auto"/>
              </w:rPr>
              <w:t>4G覆盖</w:t>
            </w:r>
          </w:p>
          <w:p>
            <w:pPr>
              <w:rPr>
                <w:color w:val="auto"/>
              </w:rPr>
            </w:pPr>
            <w:r>
              <w:rPr>
                <w:rFonts w:hint="eastAsia"/>
                <w:color w:val="auto"/>
              </w:rPr>
              <w:t>3.</w:t>
            </w:r>
            <w:r>
              <w:rPr>
                <w:color w:val="auto"/>
              </w:rPr>
              <w:t>调频覆盖</w:t>
            </w:r>
          </w:p>
          <w:p>
            <w:pPr>
              <w:rPr>
                <w:color w:val="auto"/>
              </w:rPr>
            </w:pPr>
            <w:r>
              <w:rPr>
                <w:rFonts w:hint="eastAsia"/>
                <w:color w:val="auto"/>
              </w:rPr>
              <w:t>4.5G覆盖</w:t>
            </w:r>
          </w:p>
          <w:p>
            <w:pPr>
              <w:rPr>
                <w:color w:val="auto"/>
              </w:rPr>
            </w:pPr>
            <w:r>
              <w:rPr>
                <w:rFonts w:hint="eastAsia"/>
                <w:color w:val="auto"/>
              </w:rPr>
              <w:t>5.DVB-C覆盖</w:t>
            </w:r>
          </w:p>
          <w:p>
            <w:pPr>
              <w:rPr>
                <w:color w:val="auto"/>
              </w:rPr>
            </w:pPr>
            <w:r>
              <w:rPr>
                <w:rFonts w:hint="eastAsia"/>
                <w:color w:val="auto"/>
              </w:rPr>
              <w:t>6.卫星覆盖</w:t>
            </w:r>
          </w:p>
          <w:p>
            <w:pPr>
              <w:rPr>
                <w:color w:val="auto"/>
              </w:rPr>
            </w:pPr>
            <w:r>
              <w:rPr>
                <w:rFonts w:hint="eastAsia"/>
                <w:color w:val="auto"/>
              </w:rPr>
              <w:t>7.DTMB覆盖</w:t>
            </w:r>
          </w:p>
          <w:p>
            <w:pPr>
              <w:rPr>
                <w:color w:val="auto"/>
              </w:rPr>
            </w:pPr>
            <w:r>
              <w:rPr>
                <w:rFonts w:hint="eastAsia"/>
                <w:color w:val="auto"/>
              </w:rPr>
              <w:t>8.其他覆盖方式自行补充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rFonts w:hint="eastAsia"/>
                <w:color w:val="auto"/>
              </w:rPr>
              <w:t>平台文字</w:t>
            </w:r>
          </w:p>
          <w:p>
            <w:pPr>
              <w:rPr>
                <w:color w:val="auto"/>
              </w:rPr>
            </w:pPr>
            <w:r>
              <w:rPr>
                <w:rFonts w:hint="eastAsia"/>
                <w:color w:val="auto"/>
              </w:rPr>
              <w:t>特色描述</w:t>
            </w:r>
          </w:p>
        </w:tc>
        <w:tc>
          <w:tcPr>
            <w:tcW w:w="994" w:type="pct"/>
            <w:vAlign w:val="center"/>
          </w:tcPr>
          <w:p>
            <w:pPr>
              <w:rPr>
                <w:color w:val="auto"/>
              </w:rPr>
            </w:pPr>
            <w:r>
              <w:rPr>
                <w:rFonts w:hint="eastAsia"/>
                <w:color w:val="auto"/>
              </w:rPr>
              <w:t>TextD</w:t>
            </w:r>
            <w:r>
              <w:rPr>
                <w:color w:val="auto"/>
              </w:rPr>
              <w:t>escription</w:t>
            </w:r>
          </w:p>
        </w:tc>
        <w:tc>
          <w:tcPr>
            <w:tcW w:w="1177" w:type="pct"/>
          </w:tcPr>
          <w:p>
            <w:pPr>
              <w:rPr>
                <w:color w:val="auto"/>
              </w:rPr>
            </w:pPr>
            <w:r>
              <w:rPr>
                <w:color w:val="auto"/>
              </w:rPr>
              <w:t xml:space="preserve">EBD.EBRPSInfo.EBRPS. </w:t>
            </w:r>
            <w:r>
              <w:rPr>
                <w:rFonts w:hint="eastAsia"/>
                <w:color w:val="auto"/>
              </w:rPr>
              <w:t>TextD</w:t>
            </w:r>
            <w:r>
              <w:rPr>
                <w:color w:val="auto"/>
              </w:rPr>
              <w:t>escription</w:t>
            </w:r>
          </w:p>
        </w:tc>
        <w:tc>
          <w:tcPr>
            <w:tcW w:w="337" w:type="pct"/>
            <w:vAlign w:val="center"/>
          </w:tcPr>
          <w:p>
            <w:pPr>
              <w:jc w:val="center"/>
              <w:rPr>
                <w:color w:val="auto"/>
              </w:rPr>
            </w:pPr>
            <w:r>
              <w:rPr>
                <w:color w:val="auto"/>
              </w:rPr>
              <w:t>字符串</w:t>
            </w:r>
          </w:p>
        </w:tc>
        <w:tc>
          <w:tcPr>
            <w:tcW w:w="501" w:type="pct"/>
            <w:vAlign w:val="center"/>
          </w:tcPr>
          <w:p>
            <w:pPr>
              <w:jc w:val="center"/>
              <w:rPr>
                <w:color w:val="auto"/>
              </w:rPr>
            </w:pPr>
            <w:r>
              <w:rPr>
                <w:rFonts w:hint="eastAsia"/>
                <w:color w:val="auto"/>
              </w:rPr>
              <w:t>必选</w:t>
            </w:r>
          </w:p>
        </w:tc>
        <w:tc>
          <w:tcPr>
            <w:tcW w:w="1181" w:type="pct"/>
            <w:vAlign w:val="center"/>
          </w:tcPr>
          <w:p>
            <w:pPr>
              <w:rPr>
                <w:color w:val="auto"/>
              </w:rPr>
            </w:pPr>
            <w:r>
              <w:rPr>
                <w:rFonts w:hint="eastAsia"/>
                <w:color w:val="auto"/>
              </w:rPr>
              <w:t>对平台所处区域的特色进行文字描述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810" w:type="pct"/>
            <w:vAlign w:val="center"/>
          </w:tcPr>
          <w:p>
            <w:pPr>
              <w:rPr>
                <w:color w:val="auto"/>
              </w:rPr>
            </w:pPr>
            <w:r>
              <w:rPr>
                <w:rFonts w:hint="eastAsia"/>
                <w:color w:val="auto"/>
              </w:rPr>
              <w:t>平台图片</w:t>
            </w:r>
          </w:p>
          <w:p>
            <w:pPr>
              <w:rPr>
                <w:color w:val="auto"/>
              </w:rPr>
            </w:pPr>
            <w:r>
              <w:rPr>
                <w:rFonts w:hint="eastAsia"/>
                <w:color w:val="auto"/>
              </w:rPr>
              <w:t>特色描述</w:t>
            </w:r>
          </w:p>
        </w:tc>
        <w:tc>
          <w:tcPr>
            <w:tcW w:w="994" w:type="pct"/>
            <w:vAlign w:val="center"/>
          </w:tcPr>
          <w:p>
            <w:pPr>
              <w:rPr>
                <w:color w:val="auto"/>
              </w:rPr>
            </w:pPr>
            <w:r>
              <w:rPr>
                <w:rFonts w:hint="eastAsia"/>
                <w:color w:val="auto"/>
              </w:rPr>
              <w:t>ImgD</w:t>
            </w:r>
            <w:r>
              <w:rPr>
                <w:color w:val="auto"/>
              </w:rPr>
              <w:t>escription</w:t>
            </w:r>
          </w:p>
        </w:tc>
        <w:tc>
          <w:tcPr>
            <w:tcW w:w="1177" w:type="pct"/>
          </w:tcPr>
          <w:p>
            <w:pPr>
              <w:rPr>
                <w:color w:val="auto"/>
              </w:rPr>
            </w:pPr>
            <w:r>
              <w:rPr>
                <w:color w:val="auto"/>
              </w:rPr>
              <w:t>EBD.EBRPSInfo.EBRPS.</w:t>
            </w:r>
            <w:r>
              <w:rPr>
                <w:rFonts w:hint="eastAsia"/>
                <w:color w:val="auto"/>
              </w:rPr>
              <w:t>ImgD</w:t>
            </w:r>
            <w:r>
              <w:rPr>
                <w:color w:val="auto"/>
              </w:rPr>
              <w:t>escription</w:t>
            </w:r>
          </w:p>
        </w:tc>
        <w:tc>
          <w:tcPr>
            <w:tcW w:w="337" w:type="pct"/>
            <w:vAlign w:val="center"/>
          </w:tcPr>
          <w:p>
            <w:pPr>
              <w:jc w:val="center"/>
              <w:rPr>
                <w:color w:val="auto"/>
              </w:rPr>
            </w:pPr>
            <w:r>
              <w:rPr>
                <w:color w:val="auto"/>
              </w:rPr>
              <w:t>字符串</w:t>
            </w:r>
          </w:p>
        </w:tc>
        <w:tc>
          <w:tcPr>
            <w:tcW w:w="501" w:type="pct"/>
            <w:vAlign w:val="center"/>
          </w:tcPr>
          <w:p>
            <w:pPr>
              <w:jc w:val="center"/>
              <w:rPr>
                <w:color w:val="auto"/>
              </w:rPr>
            </w:pPr>
            <w:r>
              <w:rPr>
                <w:rFonts w:hint="eastAsia"/>
                <w:color w:val="auto"/>
              </w:rPr>
              <w:t>必选</w:t>
            </w:r>
          </w:p>
        </w:tc>
        <w:tc>
          <w:tcPr>
            <w:tcW w:w="1181" w:type="pct"/>
            <w:vAlign w:val="center"/>
          </w:tcPr>
          <w:p>
            <w:pPr>
              <w:rPr>
                <w:color w:val="auto"/>
              </w:rPr>
            </w:pPr>
            <w:r>
              <w:rPr>
                <w:rFonts w:hint="eastAsia"/>
                <w:color w:val="auto"/>
              </w:rPr>
              <w:t>图片访问地址</w:t>
            </w:r>
          </w:p>
        </w:tc>
      </w:tr>
    </w:tbl>
    <w:p>
      <w:pPr>
        <w:rPr>
          <w:rFonts w:ascii="宋体" w:hAnsi="宋体" w:cs="Arial"/>
          <w:color w:val="auto"/>
          <w:sz w:val="18"/>
          <w:szCs w:val="18"/>
        </w:rPr>
      </w:pPr>
    </w:p>
    <w:p>
      <w:pPr>
        <w:pStyle w:val="19"/>
        <w:numPr>
          <w:ilvl w:val="0"/>
          <w:numId w:val="8"/>
        </w:numPr>
        <w:rPr>
          <w:rFonts w:ascii="Times New Roman"/>
          <w:color w:val="auto"/>
        </w:rPr>
      </w:pPr>
      <w:bookmarkStart w:id="82" w:name="_Toc117593828"/>
      <w:r>
        <w:rPr>
          <w:rFonts w:hint="eastAsia" w:ascii="Times New Roman"/>
          <w:color w:val="auto"/>
        </w:rPr>
        <w:t>2 应急广播平台状态TAR文件</w:t>
      </w:r>
      <w:bookmarkEnd w:id="82"/>
    </w:p>
    <w:p>
      <w:pPr>
        <w:widowControl/>
        <w:ind w:firstLine="360"/>
        <w:rPr>
          <w:rFonts w:eastAsia="宋体"/>
          <w:color w:val="auto"/>
          <w:lang w:eastAsia="zh-Hans"/>
        </w:rPr>
      </w:pPr>
      <w:r>
        <w:rPr>
          <w:rFonts w:hint="eastAsia"/>
          <w:color w:val="auto"/>
        </w:rPr>
        <w:t>状态描述</w:t>
      </w:r>
      <w:r>
        <w:rPr>
          <w:color w:val="auto"/>
        </w:rPr>
        <w:t>字段需要增加</w:t>
      </w:r>
      <w:r>
        <w:rPr>
          <w:rFonts w:hint="eastAsia"/>
          <w:color w:val="auto"/>
        </w:rPr>
        <w:t>平台CPU使用率(CPU Usage)</w:t>
      </w:r>
      <w:r>
        <w:rPr>
          <w:color w:val="auto"/>
        </w:rPr>
        <w:t>、</w:t>
      </w:r>
      <w:r>
        <w:rPr>
          <w:rFonts w:hint="eastAsia"/>
          <w:color w:val="auto"/>
        </w:rPr>
        <w:t>内存使用率(Memory Usage)</w:t>
      </w:r>
      <w:r>
        <w:rPr>
          <w:color w:val="auto"/>
        </w:rPr>
        <w:t>、硬盘使用率</w:t>
      </w:r>
      <w:r>
        <w:rPr>
          <w:rFonts w:hint="eastAsia"/>
          <w:color w:val="auto"/>
        </w:rPr>
        <w:t>(Disk Usage)</w:t>
      </w:r>
      <w:r>
        <w:rPr>
          <w:color w:val="auto"/>
        </w:rPr>
        <w:t>和</w:t>
      </w:r>
      <w:r>
        <w:rPr>
          <w:rFonts w:hint="eastAsia"/>
          <w:color w:val="auto"/>
        </w:rPr>
        <w:t>平台系统时间(System DateTime)</w:t>
      </w:r>
      <w:r>
        <w:rPr>
          <w:rFonts w:hint="eastAsia"/>
          <w:color w:val="auto"/>
          <w:lang w:eastAsia="zh-Hans"/>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5"/>
        <w:gridCol w:w="1057"/>
        <w:gridCol w:w="3064"/>
        <w:gridCol w:w="427"/>
        <w:gridCol w:w="622"/>
        <w:gridCol w:w="39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66" w:type="pct"/>
            <w:vAlign w:val="center"/>
          </w:tcPr>
          <w:p>
            <w:pPr>
              <w:jc w:val="center"/>
              <w:rPr>
                <w:color w:val="auto"/>
              </w:rPr>
            </w:pPr>
            <w:r>
              <w:rPr>
                <w:color w:val="auto"/>
              </w:rPr>
              <w:t>定义</w:t>
            </w:r>
          </w:p>
        </w:tc>
        <w:tc>
          <w:tcPr>
            <w:tcW w:w="404" w:type="pct"/>
            <w:vAlign w:val="center"/>
          </w:tcPr>
          <w:p>
            <w:pPr>
              <w:jc w:val="center"/>
              <w:rPr>
                <w:color w:val="auto"/>
              </w:rPr>
            </w:pPr>
            <w:r>
              <w:rPr>
                <w:color w:val="auto"/>
              </w:rPr>
              <w:t>名称</w:t>
            </w:r>
          </w:p>
        </w:tc>
        <w:tc>
          <w:tcPr>
            <w:tcW w:w="795" w:type="pct"/>
            <w:vAlign w:val="center"/>
          </w:tcPr>
          <w:p>
            <w:pPr>
              <w:jc w:val="center"/>
              <w:rPr>
                <w:color w:val="auto"/>
              </w:rPr>
            </w:pPr>
            <w:r>
              <w:rPr>
                <w:color w:val="auto"/>
              </w:rPr>
              <w:t>层次关系</w:t>
            </w:r>
          </w:p>
        </w:tc>
        <w:tc>
          <w:tcPr>
            <w:tcW w:w="462" w:type="pct"/>
            <w:vAlign w:val="center"/>
          </w:tcPr>
          <w:p>
            <w:pPr>
              <w:jc w:val="center"/>
              <w:rPr>
                <w:color w:val="auto"/>
              </w:rPr>
            </w:pPr>
            <w:r>
              <w:rPr>
                <w:color w:val="auto"/>
              </w:rPr>
              <w:t>属性</w:t>
            </w:r>
          </w:p>
        </w:tc>
        <w:tc>
          <w:tcPr>
            <w:tcW w:w="563" w:type="pct"/>
            <w:vAlign w:val="center"/>
          </w:tcPr>
          <w:p>
            <w:pPr>
              <w:jc w:val="center"/>
              <w:rPr>
                <w:color w:val="auto"/>
              </w:rPr>
            </w:pPr>
            <w:r>
              <w:rPr>
                <w:color w:val="auto"/>
              </w:rPr>
              <w:t>必/可选</w:t>
            </w:r>
          </w:p>
        </w:tc>
        <w:tc>
          <w:tcPr>
            <w:tcW w:w="2311" w:type="pct"/>
            <w:vAlign w:val="center"/>
          </w:tcPr>
          <w:p>
            <w:pPr>
              <w:jc w:val="center"/>
              <w:rPr>
                <w:color w:val="auto"/>
              </w:rPr>
            </w:pPr>
            <w:r>
              <w:rPr>
                <w:color w:val="auto"/>
              </w:rPr>
              <w:t>注释/取值范围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466" w:type="pct"/>
            <w:vAlign w:val="center"/>
          </w:tcPr>
          <w:p>
            <w:pPr>
              <w:rPr>
                <w:color w:val="auto"/>
              </w:rPr>
            </w:pPr>
            <w:r>
              <w:rPr>
                <w:rFonts w:hint="eastAsia"/>
                <w:color w:val="auto"/>
              </w:rPr>
              <w:t>状态描</w:t>
            </w:r>
            <w:r>
              <w:rPr>
                <w:color w:val="auto"/>
              </w:rPr>
              <w:t xml:space="preserve"> </w:t>
            </w:r>
            <w:r>
              <w:rPr>
                <w:rFonts w:hint="eastAsia"/>
                <w:color w:val="auto"/>
              </w:rPr>
              <w:t>述</w:t>
            </w:r>
          </w:p>
        </w:tc>
        <w:tc>
          <w:tcPr>
            <w:tcW w:w="404" w:type="pct"/>
            <w:vAlign w:val="center"/>
          </w:tcPr>
          <w:p>
            <w:pPr>
              <w:rPr>
                <w:color w:val="auto"/>
              </w:rPr>
            </w:pPr>
            <w:r>
              <w:rPr>
                <w:color w:val="auto"/>
              </w:rPr>
              <w:t>StateDesc</w:t>
            </w:r>
          </w:p>
        </w:tc>
        <w:tc>
          <w:tcPr>
            <w:tcW w:w="795" w:type="pct"/>
            <w:vAlign w:val="center"/>
          </w:tcPr>
          <w:p>
            <w:pPr>
              <w:rPr>
                <w:color w:val="auto"/>
              </w:rPr>
            </w:pPr>
            <w:r>
              <w:rPr>
                <w:color w:val="auto"/>
              </w:rPr>
              <w:t>EBD.EBRPSState.EBRPS.StateDesc</w:t>
            </w:r>
          </w:p>
        </w:tc>
        <w:tc>
          <w:tcPr>
            <w:tcW w:w="462" w:type="pct"/>
            <w:vAlign w:val="center"/>
          </w:tcPr>
          <w:p>
            <w:pPr>
              <w:rPr>
                <w:color w:val="auto"/>
              </w:rPr>
            </w:pPr>
            <w:r>
              <w:rPr>
                <w:rFonts w:hint="eastAsia"/>
                <w:color w:val="auto"/>
              </w:rPr>
              <w:t>字符串</w:t>
            </w:r>
          </w:p>
        </w:tc>
        <w:tc>
          <w:tcPr>
            <w:tcW w:w="563" w:type="pct"/>
            <w:vAlign w:val="center"/>
          </w:tcPr>
          <w:p>
            <w:pPr>
              <w:jc w:val="center"/>
              <w:rPr>
                <w:color w:val="auto"/>
              </w:rPr>
            </w:pPr>
            <w:r>
              <w:rPr>
                <w:color w:val="auto"/>
              </w:rPr>
              <w:t>必选</w:t>
            </w:r>
          </w:p>
        </w:tc>
        <w:tc>
          <w:tcPr>
            <w:tcW w:w="2311" w:type="pct"/>
            <w:vAlign w:val="center"/>
          </w:tcPr>
          <w:p>
            <w:pPr>
              <w:rPr>
                <w:color w:val="auto"/>
              </w:rPr>
            </w:pPr>
            <w:r>
              <w:rPr>
                <w:rFonts w:hint="eastAsia"/>
                <w:color w:val="auto"/>
              </w:rPr>
              <w:t>应急广播平台</w:t>
            </w:r>
            <w:r>
              <w:rPr>
                <w:color w:val="auto"/>
              </w:rPr>
              <w:t>状态的详细描述</w:t>
            </w:r>
            <w:r>
              <w:rPr>
                <w:rFonts w:hint="eastAsia"/>
                <w:color w:val="auto"/>
              </w:rPr>
              <w:t>，自行描述,格式为JSON字符串</w:t>
            </w:r>
          </w:p>
          <w:p>
            <w:pPr>
              <w:pStyle w:val="22"/>
              <w:numPr>
                <w:ilvl w:val="0"/>
                <w:numId w:val="9"/>
              </w:numPr>
              <w:spacing w:before="0"/>
              <w:rPr>
                <w:color w:val="auto"/>
              </w:rPr>
            </w:pPr>
            <w:r>
              <w:rPr>
                <w:rFonts w:hint="eastAsia"/>
                <w:color w:val="auto"/>
              </w:rPr>
              <w:t>CPU使用率(CPU</w:t>
            </w:r>
            <w:r>
              <w:rPr>
                <w:rFonts w:hint="eastAsia"/>
                <w:color w:val="auto"/>
                <w:lang w:val="en-US"/>
              </w:rPr>
              <w:t xml:space="preserve"> </w:t>
            </w:r>
            <w:r>
              <w:rPr>
                <w:rFonts w:hint="eastAsia"/>
                <w:color w:val="auto"/>
              </w:rPr>
              <w:t>Usage)</w:t>
            </w:r>
          </w:p>
          <w:p>
            <w:pPr>
              <w:pStyle w:val="22"/>
              <w:numPr>
                <w:ilvl w:val="0"/>
                <w:numId w:val="9"/>
              </w:numPr>
              <w:spacing w:before="0"/>
              <w:rPr>
                <w:color w:val="auto"/>
              </w:rPr>
            </w:pPr>
            <w:r>
              <w:rPr>
                <w:rFonts w:hint="eastAsia"/>
                <w:color w:val="auto"/>
              </w:rPr>
              <w:t>内存使用率(Memory</w:t>
            </w:r>
            <w:r>
              <w:rPr>
                <w:rFonts w:hint="eastAsia"/>
                <w:color w:val="auto"/>
                <w:lang w:val="en-US"/>
              </w:rPr>
              <w:t xml:space="preserve"> </w:t>
            </w:r>
            <w:r>
              <w:rPr>
                <w:rFonts w:hint="eastAsia"/>
                <w:color w:val="auto"/>
              </w:rPr>
              <w:t>Usage)</w:t>
            </w:r>
          </w:p>
          <w:p>
            <w:pPr>
              <w:pStyle w:val="22"/>
              <w:numPr>
                <w:ilvl w:val="0"/>
                <w:numId w:val="9"/>
              </w:numPr>
              <w:spacing w:before="0"/>
              <w:rPr>
                <w:color w:val="auto"/>
              </w:rPr>
            </w:pPr>
            <w:r>
              <w:rPr>
                <w:rFonts w:hint="eastAsia"/>
                <w:color w:val="auto"/>
              </w:rPr>
              <w:t>硬盘使用率(Disk</w:t>
            </w:r>
            <w:r>
              <w:rPr>
                <w:rFonts w:hint="eastAsia"/>
                <w:color w:val="auto"/>
                <w:lang w:val="en-US"/>
              </w:rPr>
              <w:t xml:space="preserve"> </w:t>
            </w:r>
            <w:r>
              <w:rPr>
                <w:rFonts w:hint="eastAsia"/>
                <w:color w:val="auto"/>
              </w:rPr>
              <w:t>Usage)</w:t>
            </w:r>
          </w:p>
          <w:p>
            <w:pPr>
              <w:pStyle w:val="22"/>
              <w:numPr>
                <w:ilvl w:val="0"/>
                <w:numId w:val="9"/>
              </w:numPr>
              <w:spacing w:before="0"/>
              <w:rPr>
                <w:color w:val="auto"/>
              </w:rPr>
            </w:pPr>
            <w:r>
              <w:rPr>
                <w:rFonts w:hint="eastAsia"/>
                <w:color w:val="auto"/>
              </w:rPr>
              <w:t>平台系统时间(System</w:t>
            </w:r>
            <w:r>
              <w:rPr>
                <w:rFonts w:hint="eastAsia"/>
                <w:color w:val="auto"/>
                <w:lang w:val="en-US"/>
              </w:rPr>
              <w:t xml:space="preserve"> </w:t>
            </w:r>
            <w:r>
              <w:rPr>
                <w:rFonts w:hint="eastAsia"/>
                <w:color w:val="auto"/>
              </w:rPr>
              <w:t>DateTime)</w:t>
            </w:r>
          </w:p>
        </w:tc>
      </w:tr>
    </w:tbl>
    <w:p>
      <w:pPr>
        <w:pStyle w:val="14"/>
        <w:rPr>
          <w:color w:val="auto"/>
        </w:rPr>
      </w:pPr>
    </w:p>
    <w:p>
      <w:pPr>
        <w:pStyle w:val="19"/>
        <w:numPr>
          <w:ilvl w:val="0"/>
          <w:numId w:val="10"/>
        </w:numPr>
        <w:rPr>
          <w:rFonts w:ascii="Times New Roman"/>
          <w:color w:val="auto"/>
        </w:rPr>
      </w:pPr>
      <w:bookmarkStart w:id="83" w:name="_Toc117593829"/>
      <w:r>
        <w:rPr>
          <w:rFonts w:hint="eastAsia" w:ascii="Times New Roman"/>
          <w:color w:val="auto"/>
        </w:rPr>
        <w:t>3 平台设备及终端状态TAR文件</w:t>
      </w:r>
      <w:bookmarkEnd w:id="83"/>
    </w:p>
    <w:p>
      <w:pPr>
        <w:pStyle w:val="22"/>
        <w:widowControl/>
        <w:ind w:left="360" w:firstLine="0"/>
        <w:rPr>
          <w:rStyle w:val="23"/>
          <w:rFonts w:ascii="Arial" w:hAnsi="Arial" w:cs="Arial"/>
          <w:color w:val="auto"/>
          <w:lang w:eastAsia="zh-Hans"/>
        </w:rPr>
      </w:pPr>
      <w:r>
        <w:rPr>
          <w:color w:val="auto"/>
        </w:rPr>
        <w:t>增加</w:t>
      </w:r>
      <w:r>
        <w:rPr>
          <w:rFonts w:hint="eastAsia"/>
          <w:color w:val="auto"/>
        </w:rPr>
        <w:t>终端正在广播的EBMID字段信息</w:t>
      </w:r>
      <w:r>
        <w:rPr>
          <w:rFonts w:hint="eastAsia"/>
          <w:color w:val="auto"/>
          <w:lang w:eastAsia="zh-Hans"/>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5"/>
        <w:gridCol w:w="795"/>
        <w:gridCol w:w="2829"/>
        <w:gridCol w:w="426"/>
        <w:gridCol w:w="724"/>
        <w:gridCol w:w="40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86" w:type="pct"/>
            <w:vAlign w:val="center"/>
          </w:tcPr>
          <w:p>
            <w:pPr>
              <w:jc w:val="center"/>
              <w:rPr>
                <w:color w:val="auto"/>
              </w:rPr>
            </w:pPr>
            <w:r>
              <w:rPr>
                <w:color w:val="auto"/>
              </w:rPr>
              <w:t>定义</w:t>
            </w:r>
          </w:p>
        </w:tc>
        <w:tc>
          <w:tcPr>
            <w:tcW w:w="484" w:type="pct"/>
            <w:vAlign w:val="center"/>
          </w:tcPr>
          <w:p>
            <w:pPr>
              <w:jc w:val="center"/>
              <w:rPr>
                <w:color w:val="auto"/>
              </w:rPr>
            </w:pPr>
            <w:r>
              <w:rPr>
                <w:color w:val="auto"/>
              </w:rPr>
              <w:t>名称</w:t>
            </w:r>
          </w:p>
        </w:tc>
        <w:tc>
          <w:tcPr>
            <w:tcW w:w="795" w:type="pct"/>
            <w:vAlign w:val="center"/>
          </w:tcPr>
          <w:p>
            <w:pPr>
              <w:jc w:val="center"/>
              <w:rPr>
                <w:color w:val="auto"/>
              </w:rPr>
            </w:pPr>
            <w:r>
              <w:rPr>
                <w:color w:val="auto"/>
              </w:rPr>
              <w:t>层次关系</w:t>
            </w:r>
          </w:p>
        </w:tc>
        <w:tc>
          <w:tcPr>
            <w:tcW w:w="369" w:type="pct"/>
            <w:vAlign w:val="center"/>
          </w:tcPr>
          <w:p>
            <w:pPr>
              <w:jc w:val="center"/>
              <w:rPr>
                <w:color w:val="auto"/>
              </w:rPr>
            </w:pPr>
            <w:r>
              <w:rPr>
                <w:color w:val="auto"/>
              </w:rPr>
              <w:t>属性</w:t>
            </w:r>
          </w:p>
        </w:tc>
        <w:tc>
          <w:tcPr>
            <w:tcW w:w="698" w:type="pct"/>
            <w:vAlign w:val="center"/>
          </w:tcPr>
          <w:p>
            <w:pPr>
              <w:jc w:val="center"/>
              <w:rPr>
                <w:color w:val="auto"/>
              </w:rPr>
            </w:pPr>
            <w:r>
              <w:rPr>
                <w:color w:val="auto"/>
              </w:rPr>
              <w:t>必/可选</w:t>
            </w:r>
          </w:p>
        </w:tc>
        <w:tc>
          <w:tcPr>
            <w:tcW w:w="2268" w:type="pct"/>
            <w:vAlign w:val="center"/>
          </w:tcPr>
          <w:p>
            <w:pPr>
              <w:jc w:val="center"/>
              <w:rPr>
                <w:color w:val="auto"/>
              </w:rPr>
            </w:pPr>
            <w:r>
              <w:rPr>
                <w:color w:val="auto"/>
              </w:rPr>
              <w:t>注释/取值范围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86" w:type="pct"/>
            <w:vAlign w:val="center"/>
          </w:tcPr>
          <w:p>
            <w:pPr>
              <w:rPr>
                <w:color w:val="auto"/>
              </w:rPr>
            </w:pPr>
            <w:r>
              <w:rPr>
                <w:rFonts w:hint="eastAsia"/>
                <w:color w:val="auto"/>
              </w:rPr>
              <w:t>广播EBMID</w:t>
            </w:r>
          </w:p>
        </w:tc>
        <w:tc>
          <w:tcPr>
            <w:tcW w:w="484" w:type="pct"/>
            <w:vAlign w:val="center"/>
          </w:tcPr>
          <w:p>
            <w:pPr>
              <w:rPr>
                <w:color w:val="auto"/>
              </w:rPr>
            </w:pPr>
            <w:r>
              <w:rPr>
                <w:rFonts w:hint="eastAsia"/>
                <w:color w:val="auto"/>
              </w:rPr>
              <w:t>EBMID</w:t>
            </w:r>
          </w:p>
        </w:tc>
        <w:tc>
          <w:tcPr>
            <w:tcW w:w="795" w:type="pct"/>
            <w:vAlign w:val="center"/>
          </w:tcPr>
          <w:p>
            <w:pPr>
              <w:rPr>
                <w:color w:val="auto"/>
              </w:rPr>
            </w:pPr>
            <w:r>
              <w:rPr>
                <w:color w:val="auto"/>
              </w:rPr>
              <w:t>EBD.EBRDTState</w:t>
            </w:r>
            <w:r>
              <w:rPr>
                <w:rFonts w:hint="eastAsia"/>
                <w:color w:val="auto"/>
              </w:rPr>
              <w:t>.</w:t>
            </w:r>
            <w:r>
              <w:rPr>
                <w:color w:val="auto"/>
              </w:rPr>
              <w:t>EBRDT.</w:t>
            </w:r>
            <w:r>
              <w:rPr>
                <w:rFonts w:hint="eastAsia"/>
                <w:color w:val="auto"/>
              </w:rPr>
              <w:t>EBMID</w:t>
            </w:r>
          </w:p>
        </w:tc>
        <w:tc>
          <w:tcPr>
            <w:tcW w:w="369" w:type="pct"/>
            <w:vAlign w:val="center"/>
          </w:tcPr>
          <w:p>
            <w:pPr>
              <w:rPr>
                <w:color w:val="auto"/>
              </w:rPr>
            </w:pPr>
            <w:r>
              <w:rPr>
                <w:rFonts w:hint="eastAsia"/>
                <w:color w:val="auto"/>
              </w:rPr>
              <w:t>字符串</w:t>
            </w:r>
          </w:p>
        </w:tc>
        <w:tc>
          <w:tcPr>
            <w:tcW w:w="698" w:type="pct"/>
            <w:vAlign w:val="center"/>
          </w:tcPr>
          <w:p>
            <w:pPr>
              <w:jc w:val="center"/>
              <w:rPr>
                <w:color w:val="auto"/>
              </w:rPr>
            </w:pPr>
            <w:r>
              <w:rPr>
                <w:color w:val="auto"/>
              </w:rPr>
              <w:t>必选</w:t>
            </w:r>
          </w:p>
        </w:tc>
        <w:tc>
          <w:tcPr>
            <w:tcW w:w="2268" w:type="pct"/>
            <w:vAlign w:val="center"/>
          </w:tcPr>
          <w:p>
            <w:pPr>
              <w:rPr>
                <w:color w:val="auto"/>
              </w:rPr>
            </w:pPr>
            <w:r>
              <w:rPr>
                <w:rFonts w:hint="eastAsia"/>
                <w:color w:val="auto"/>
              </w:rPr>
              <w:t>当</w:t>
            </w:r>
            <w:r>
              <w:rPr>
                <w:color w:val="auto"/>
              </w:rPr>
              <w:t>状态代码</w:t>
            </w:r>
            <w:r>
              <w:rPr>
                <w:rFonts w:hint="eastAsia"/>
                <w:color w:val="auto"/>
              </w:rPr>
              <w:t>为</w:t>
            </w:r>
            <w:r>
              <w:rPr>
                <w:color w:val="auto"/>
              </w:rPr>
              <w:t>5</w:t>
            </w:r>
            <w:r>
              <w:rPr>
                <w:rFonts w:hint="eastAsia"/>
                <w:color w:val="auto"/>
              </w:rPr>
              <w:t>（</w:t>
            </w:r>
            <w:r>
              <w:rPr>
                <w:color w:val="auto"/>
              </w:rPr>
              <w:t>播发中</w:t>
            </w:r>
            <w:r>
              <w:rPr>
                <w:rFonts w:hint="eastAsia"/>
                <w:color w:val="auto"/>
              </w:rPr>
              <w:t>）时，需要上报终端正在播放广播的EBMID</w:t>
            </w:r>
          </w:p>
        </w:tc>
      </w:tr>
    </w:tbl>
    <w:p>
      <w:pPr>
        <w:pStyle w:val="14"/>
        <w:rPr>
          <w:rFonts w:ascii="Times New Roman"/>
          <w:color w:val="auto"/>
        </w:rPr>
      </w:pPr>
    </w:p>
    <w:p>
      <w:pPr>
        <w:pStyle w:val="14"/>
        <w:rPr>
          <w:rFonts w:ascii="Times New Roman"/>
          <w:color w:val="auto"/>
        </w:rPr>
      </w:pPr>
    </w:p>
    <w:p>
      <w:pPr>
        <w:pStyle w:val="14"/>
        <w:rPr>
          <w:rFonts w:ascii="Times New Roman"/>
          <w:color w:val="auto"/>
        </w:rPr>
      </w:pPr>
    </w:p>
    <w:p>
      <w:pPr>
        <w:pStyle w:val="14"/>
        <w:rPr>
          <w:rFonts w:ascii="Times New Roman"/>
          <w:color w:val="auto"/>
        </w:rPr>
      </w:pPr>
    </w:p>
    <w:p>
      <w:pPr>
        <w:pStyle w:val="14"/>
        <w:rPr>
          <w:rFonts w:ascii="Times New Roman"/>
          <w:color w:val="auto"/>
        </w:rPr>
      </w:pPr>
    </w:p>
    <w:p>
      <w:pPr>
        <w:pStyle w:val="8"/>
        <w:spacing w:before="0" w:beforeAutospacing="0" w:after="0" w:afterAutospacing="0"/>
        <w:rPr>
          <w:rFonts w:ascii="Times New Roman" w:hAnsi="Times New Roman" w:cs="Times New Roman"/>
          <w:color w:val="auto"/>
          <w:sz w:val="21"/>
          <w:szCs w:val="21"/>
        </w:rPr>
        <w:sectPr>
          <w:footerReference r:id="rId9" w:type="default"/>
          <w:pgSz w:w="11906" w:h="16838"/>
          <w:pgMar w:top="567" w:right="1134" w:bottom="1134" w:left="1418" w:header="1418" w:footer="1134" w:gutter="0"/>
          <w:pgNumType w:start="1"/>
          <w:cols w:space="720" w:num="1"/>
          <w:formProt w:val="0"/>
          <w:docGrid w:type="lines" w:linePitch="312" w:charSpace="0"/>
        </w:sectPr>
      </w:pPr>
    </w:p>
    <w:p>
      <w:pPr>
        <w:rPr>
          <w:b/>
          <w:bCs/>
          <w:color w:val="auto"/>
          <w:lang w:val="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Wingdings 2">
    <w:panose1 w:val="05020102010507070707"/>
    <w:charset w:val="02"/>
    <w:family w:val="roman"/>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仿宋_GB2312">
    <w:panose1 w:val="02010609030101010101"/>
    <w:charset w:val="86"/>
    <w:family w:val="modern"/>
    <w:pitch w:val="default"/>
    <w:sig w:usb0="00000001" w:usb1="080E0000" w:usb2="00000000" w:usb3="00000000" w:csb0="00040000" w:csb1="00000000"/>
  </w:font>
  <w:font w:name="方正书宋简体">
    <w:altName w:val="宋体"/>
    <w:panose1 w:val="00000000000000000000"/>
    <w:charset w:val="86"/>
    <w:family w:val="script"/>
    <w:pitch w:val="default"/>
    <w:sig w:usb0="00000000" w:usb1="00000000" w:usb2="00000010" w:usb3="00000000" w:csb0="00040000" w:csb1="00000000"/>
  </w:font>
  <w:font w:name="方正黑体简体">
    <w:altName w:val="黑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pPr>
    <w: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091295760"/>
                          </w:sdtPr>
                          <w:sdtContent>
                            <w:p>
                              <w:pPr>
                                <w:pStyle w:val="4"/>
                                <w:jc w:val="right"/>
                              </w:pPr>
                              <w:r>
                                <w:fldChar w:fldCharType="begin"/>
                              </w:r>
                              <w:r>
                                <w:instrText xml:space="preserve">PAGE   \* MERGEFORMAT</w:instrText>
                              </w:r>
                              <w:r>
                                <w:fldChar w:fldCharType="separate"/>
                              </w:r>
                              <w:r>
                                <w:rPr>
                                  <w:lang w:val="zh-CN"/>
                                </w:rPr>
                                <w:t>3</w:t>
                              </w:r>
                              <w:r>
                                <w:fldChar w:fldCharType="end"/>
                              </w:r>
                            </w:p>
                          </w:sdtContent>
                        </w:sdt>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sdt>
                    <w:sdtPr>
                      <w:id w:val="-2091295760"/>
                    </w:sdtPr>
                    <w:sdtContent>
                      <w:p>
                        <w:pPr>
                          <w:pStyle w:val="4"/>
                          <w:jc w:val="right"/>
                        </w:pPr>
                        <w:r>
                          <w:fldChar w:fldCharType="begin"/>
                        </w:r>
                        <w:r>
                          <w:instrText xml:space="preserve">PAGE   \* MERGEFORMAT</w:instrText>
                        </w:r>
                        <w:r>
                          <w:fldChar w:fldCharType="separate"/>
                        </w:r>
                        <w:r>
                          <w:rPr>
                            <w:lang w:val="zh-CN"/>
                          </w:rPr>
                          <w:t>3</w:t>
                        </w:r>
                        <w:r>
                          <w:fldChar w:fldCharType="end"/>
                        </w:r>
                      </w:p>
                    </w:sdtContent>
                  </w:sdt>
                  <w:p/>
                </w:txbxContent>
              </v:textbox>
            </v:shape>
          </w:pict>
        </mc:Fallback>
      </mc:AlternateContent>
    </w:r>
  </w:p>
  <w:p>
    <w:pPr>
      <w:pStyle w:val="4"/>
      <w:ind w:right="360" w:firstLine="360"/>
      <w:rPr>
        <w:rStyle w:val="11"/>
        <w:spacing w:val="40"/>
        <w:sz w:val="13"/>
        <w:szCs w:val="13"/>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11"/>
      </w:rPr>
    </w:pPr>
    <w:r>
      <w:fldChar w:fldCharType="begin"/>
    </w:r>
    <w:r>
      <w:rPr>
        <w:rStyle w:val="11"/>
      </w:rPr>
      <w:instrText xml:space="preserve">PAGE  </w:instrText>
    </w:r>
    <w:r>
      <w:fldChar w:fldCharType="separate"/>
    </w:r>
    <w:r>
      <w:rPr>
        <w:rStyle w:val="11"/>
      </w:rPr>
      <w:t>2</w:t>
    </w:r>
    <w:r>
      <w:fldChar w:fldCharType="end"/>
    </w:r>
  </w:p>
  <w:p>
    <w:pPr>
      <w:pStyle w:val="4"/>
      <w:ind w:right="360" w:firstLine="360"/>
    </w:pP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7"/>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7"/>
                    </w:pPr>
                    <w:r>
                      <w:fldChar w:fldCharType="begin"/>
                    </w:r>
                    <w:r>
                      <w:instrText xml:space="preserve"> PAGE  \* MERGEFORMAT </w:instrText>
                    </w:r>
                    <w:r>
                      <w:fldChar w:fldCharType="separate"/>
                    </w:r>
                    <w:r>
                      <w:t>II</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b/>
      </w:rPr>
    </w:pPr>
    <w:r>
      <w:rPr>
        <w:b/>
      </w:rPr>
      <w:t>DB</w:t>
    </w:r>
    <w:r>
      <w:rPr>
        <w:b/>
      </w:rPr>
      <w:sym w:font="Wingdings 2" w:char="F0A3"/>
    </w:r>
    <w:r>
      <w:rPr>
        <w:b/>
      </w:rPr>
      <w:sym w:font="Wingdings 2" w:char="F0A3"/>
    </w:r>
    <w:r>
      <w:rPr>
        <w:b/>
      </w:rPr>
      <w:t>/T</w:t>
    </w:r>
    <w:r>
      <w:rPr>
        <w:b/>
      </w:rPr>
      <w:sym w:font="Wingdings 2" w:char="F0CE"/>
    </w:r>
    <w:r>
      <w:rPr>
        <w:b/>
      </w:rPr>
      <w:sym w:font="Wingdings 2" w:char="F0CE"/>
    </w:r>
    <w:r>
      <w:rPr>
        <w:b/>
      </w:rPr>
      <w:sym w:font="Wingdings 2" w:char="F0CE"/>
    </w:r>
    <w:r>
      <w:rPr>
        <w:b/>
      </w:rPr>
      <w:t>—202</w:t>
    </w:r>
    <w:r>
      <w:rPr>
        <w:rFonts w:hint="eastAsia"/>
        <w:b/>
      </w:rPr>
      <w:t>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jc w:val="both"/>
      <w:rPr>
        <w:rFonts w:ascii="黑体" w:eastAsia="黑体"/>
        <w:sz w:val="21"/>
        <w:szCs w:val="21"/>
      </w:rPr>
    </w:pPr>
    <w:r>
      <w:rPr>
        <w:rFonts w:hint="eastAsia" w:ascii="黑体" w:eastAsia="黑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t>DB43/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8401AA"/>
    <w:multiLevelType w:val="singleLevel"/>
    <w:tmpl w:val="C08401AA"/>
    <w:lvl w:ilvl="0" w:tentative="0">
      <w:start w:val="1"/>
      <w:numFmt w:val="upperLetter"/>
      <w:suff w:val="space"/>
      <w:lvlText w:val="%1."/>
      <w:lvlJc w:val="left"/>
    </w:lvl>
  </w:abstractNum>
  <w:abstractNum w:abstractNumId="1">
    <w:nsid w:val="EB95AD65"/>
    <w:multiLevelType w:val="multilevel"/>
    <w:tmpl w:val="EB95AD65"/>
    <w:lvl w:ilvl="0" w:tentative="0">
      <w:start w:val="1"/>
      <w:numFmt w:val="decimal"/>
      <w:pStyle w:val="1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tabs>
          <w:tab w:val="left" w:pos="0"/>
        </w:tabs>
        <w:ind w:left="0" w:firstLine="0"/>
      </w:pPr>
      <w:rPr>
        <w:rFonts w:hint="default"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0"/>
      <w:suff w:val="nothing"/>
      <w:lvlText w:val="%1.%2.%3　"/>
      <w:lvlJc w:val="left"/>
      <w:pPr>
        <w:tabs>
          <w:tab w:val="left" w:pos="0"/>
        </w:tabs>
        <w:ind w:left="0" w:firstLine="0"/>
      </w:pPr>
      <w:rPr>
        <w:rFonts w:hint="default" w:ascii="黑体" w:hAnsi="黑体" w:eastAsia="黑体" w:cs="宋体"/>
        <w:b w:val="0"/>
        <w:i w:val="0"/>
        <w:sz w:val="21"/>
      </w:rPr>
    </w:lvl>
    <w:lvl w:ilvl="3" w:tentative="0">
      <w:start w:val="1"/>
      <w:numFmt w:val="decimal"/>
      <w:suff w:val="nothing"/>
      <w:lvlText w:val="%1.%2.%3.%4　"/>
      <w:lvlJc w:val="left"/>
      <w:pPr>
        <w:ind w:left="0" w:firstLine="0"/>
      </w:pPr>
      <w:rPr>
        <w:rFonts w:hint="default" w:ascii="宋体" w:hAnsi="宋体" w:eastAsia="宋体" w:cs="宋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EFBAA41C"/>
    <w:multiLevelType w:val="multilevel"/>
    <w:tmpl w:val="EFBAA41C"/>
    <w:lvl w:ilvl="0" w:tentative="0">
      <w:start w:val="1"/>
      <w:numFmt w:val="lowerLetter"/>
      <w:lvlText w:val="%1)"/>
      <w:lvlJc w:val="left"/>
      <w:pPr>
        <w:tabs>
          <w:tab w:val="left" w:pos="840"/>
        </w:tabs>
        <w:ind w:left="839" w:hanging="419"/>
      </w:pPr>
      <w:rPr>
        <w:rFonts w:hint="eastAsia"/>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1C46DF18"/>
    <w:multiLevelType w:val="singleLevel"/>
    <w:tmpl w:val="1C46DF18"/>
    <w:lvl w:ilvl="0" w:tentative="0">
      <w:start w:val="1"/>
      <w:numFmt w:val="upperLetter"/>
      <w:suff w:val="space"/>
      <w:lvlText w:val="%1."/>
      <w:lvlJc w:val="left"/>
    </w:lvl>
  </w:abstractNum>
  <w:abstractNum w:abstractNumId="4">
    <w:nsid w:val="36B5D528"/>
    <w:multiLevelType w:val="singleLevel"/>
    <w:tmpl w:val="36B5D528"/>
    <w:lvl w:ilvl="0" w:tentative="0">
      <w:start w:val="1"/>
      <w:numFmt w:val="upperLetter"/>
      <w:suff w:val="space"/>
      <w:lvlText w:val="%1."/>
      <w:lvlJc w:val="left"/>
    </w:lvl>
  </w:abstractNum>
  <w:abstractNum w:abstractNumId="5">
    <w:nsid w:val="3A0B7621"/>
    <w:multiLevelType w:val="multilevel"/>
    <w:tmpl w:val="3A0B762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4C50F90"/>
    <w:multiLevelType w:val="multilevel"/>
    <w:tmpl w:val="44C50F90"/>
    <w:lvl w:ilvl="0" w:tentative="0">
      <w:start w:val="1"/>
      <w:numFmt w:val="lowerLetter"/>
      <w:pStyle w:val="21"/>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7">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hAnsi="Times New Roman" w:eastAsia="黑体" w:cs="Times New Roman"/>
        <w:b w:val="0"/>
        <w:bCs w:val="0"/>
        <w:i w:val="0"/>
        <w:iCs w:val="0"/>
        <w:caps w:val="0"/>
        <w:smallCaps w:val="0"/>
        <w:strike w:val="0"/>
        <w:dstrike w:val="0"/>
        <w:vanish w:val="0"/>
        <w:spacing w:val="0"/>
        <w:kern w:val="0"/>
        <w:position w:val="0"/>
        <w:sz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6"/>
  </w:num>
  <w:num w:numId="3">
    <w:abstractNumId w:val="7"/>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4"/>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JlZTJjYTZkYTRhZWQ3ZGU3NjcyZDRiYTczMzg0NmQifQ=="/>
  </w:docVars>
  <w:rsids>
    <w:rsidRoot w:val="05315937"/>
    <w:rsid w:val="00022A20"/>
    <w:rsid w:val="00234319"/>
    <w:rsid w:val="00742AF3"/>
    <w:rsid w:val="007C0679"/>
    <w:rsid w:val="00837FFB"/>
    <w:rsid w:val="00861DAB"/>
    <w:rsid w:val="009663C4"/>
    <w:rsid w:val="00C43570"/>
    <w:rsid w:val="00DB7C61"/>
    <w:rsid w:val="012D0479"/>
    <w:rsid w:val="014063FE"/>
    <w:rsid w:val="01DD1E9F"/>
    <w:rsid w:val="01FB0577"/>
    <w:rsid w:val="02306473"/>
    <w:rsid w:val="04D94B9F"/>
    <w:rsid w:val="04DA3EBF"/>
    <w:rsid w:val="04F33787"/>
    <w:rsid w:val="05315937"/>
    <w:rsid w:val="061A5470"/>
    <w:rsid w:val="064A73D7"/>
    <w:rsid w:val="076D7821"/>
    <w:rsid w:val="08345513"/>
    <w:rsid w:val="0854278F"/>
    <w:rsid w:val="08762705"/>
    <w:rsid w:val="08A94889"/>
    <w:rsid w:val="08CC0E41"/>
    <w:rsid w:val="091C14FF"/>
    <w:rsid w:val="09E55D95"/>
    <w:rsid w:val="0A8D3D36"/>
    <w:rsid w:val="0AB7406C"/>
    <w:rsid w:val="0AFB5144"/>
    <w:rsid w:val="0B8D0BBC"/>
    <w:rsid w:val="0BF422BF"/>
    <w:rsid w:val="0CE9794A"/>
    <w:rsid w:val="0D246BD4"/>
    <w:rsid w:val="0D5D5C42"/>
    <w:rsid w:val="0DC61A39"/>
    <w:rsid w:val="0E43752E"/>
    <w:rsid w:val="0EC86D76"/>
    <w:rsid w:val="0EE02FCE"/>
    <w:rsid w:val="10C20BDE"/>
    <w:rsid w:val="114535BD"/>
    <w:rsid w:val="117A3266"/>
    <w:rsid w:val="11C20769"/>
    <w:rsid w:val="11D87F8D"/>
    <w:rsid w:val="11E701D0"/>
    <w:rsid w:val="11E84674"/>
    <w:rsid w:val="126D4B79"/>
    <w:rsid w:val="12942106"/>
    <w:rsid w:val="12D544CC"/>
    <w:rsid w:val="133438E9"/>
    <w:rsid w:val="1379754E"/>
    <w:rsid w:val="14A32AD4"/>
    <w:rsid w:val="14A625C4"/>
    <w:rsid w:val="14A9255A"/>
    <w:rsid w:val="14C03686"/>
    <w:rsid w:val="14CB4B9C"/>
    <w:rsid w:val="15C42D02"/>
    <w:rsid w:val="15D54F0F"/>
    <w:rsid w:val="15FA6724"/>
    <w:rsid w:val="16A36DBB"/>
    <w:rsid w:val="17215F32"/>
    <w:rsid w:val="17852965"/>
    <w:rsid w:val="18A60DE5"/>
    <w:rsid w:val="18B43089"/>
    <w:rsid w:val="18DC4807"/>
    <w:rsid w:val="191C2E55"/>
    <w:rsid w:val="193C34F7"/>
    <w:rsid w:val="19801636"/>
    <w:rsid w:val="19EC0A79"/>
    <w:rsid w:val="1A4408B5"/>
    <w:rsid w:val="1B18764C"/>
    <w:rsid w:val="1B925650"/>
    <w:rsid w:val="1BAA0BEC"/>
    <w:rsid w:val="1BAD248A"/>
    <w:rsid w:val="1BBE6445"/>
    <w:rsid w:val="1C00080C"/>
    <w:rsid w:val="1C0876C1"/>
    <w:rsid w:val="1D04432C"/>
    <w:rsid w:val="1E340C41"/>
    <w:rsid w:val="1E682698"/>
    <w:rsid w:val="1F1F71FB"/>
    <w:rsid w:val="1FA31BDA"/>
    <w:rsid w:val="200A7EAB"/>
    <w:rsid w:val="204F1D62"/>
    <w:rsid w:val="22AA14D2"/>
    <w:rsid w:val="22DD6DEB"/>
    <w:rsid w:val="231D1CA3"/>
    <w:rsid w:val="23666223"/>
    <w:rsid w:val="2378337E"/>
    <w:rsid w:val="23867849"/>
    <w:rsid w:val="23ED78C8"/>
    <w:rsid w:val="246D0A09"/>
    <w:rsid w:val="24DB3BC4"/>
    <w:rsid w:val="2685203A"/>
    <w:rsid w:val="26B741BD"/>
    <w:rsid w:val="27054F28"/>
    <w:rsid w:val="270C275B"/>
    <w:rsid w:val="27781B9E"/>
    <w:rsid w:val="27AE78FB"/>
    <w:rsid w:val="283D06F2"/>
    <w:rsid w:val="28665E9B"/>
    <w:rsid w:val="28885E11"/>
    <w:rsid w:val="28D63020"/>
    <w:rsid w:val="29954C89"/>
    <w:rsid w:val="29A529F3"/>
    <w:rsid w:val="2A944F41"/>
    <w:rsid w:val="2AB91F57"/>
    <w:rsid w:val="2AC60E73"/>
    <w:rsid w:val="2ADE440E"/>
    <w:rsid w:val="2B261911"/>
    <w:rsid w:val="2B995ABA"/>
    <w:rsid w:val="2BDF043E"/>
    <w:rsid w:val="2C8C39F6"/>
    <w:rsid w:val="2CD535EF"/>
    <w:rsid w:val="2D574004"/>
    <w:rsid w:val="2EE43FBD"/>
    <w:rsid w:val="2EEE2746"/>
    <w:rsid w:val="2F4A2072"/>
    <w:rsid w:val="31AF7769"/>
    <w:rsid w:val="31E858D1"/>
    <w:rsid w:val="322C3CB1"/>
    <w:rsid w:val="32E75E2A"/>
    <w:rsid w:val="33092244"/>
    <w:rsid w:val="334E5EA9"/>
    <w:rsid w:val="336456CD"/>
    <w:rsid w:val="34036C94"/>
    <w:rsid w:val="3428494C"/>
    <w:rsid w:val="347B0F20"/>
    <w:rsid w:val="349124F1"/>
    <w:rsid w:val="352C1711"/>
    <w:rsid w:val="359C2EFC"/>
    <w:rsid w:val="361C5DEB"/>
    <w:rsid w:val="363E0457"/>
    <w:rsid w:val="37403D5B"/>
    <w:rsid w:val="374970B3"/>
    <w:rsid w:val="37BD459E"/>
    <w:rsid w:val="38044D88"/>
    <w:rsid w:val="381274A5"/>
    <w:rsid w:val="38397128"/>
    <w:rsid w:val="38740160"/>
    <w:rsid w:val="38DE382B"/>
    <w:rsid w:val="39194863"/>
    <w:rsid w:val="397228F1"/>
    <w:rsid w:val="3A3E27D3"/>
    <w:rsid w:val="3A4B5A75"/>
    <w:rsid w:val="3A802DEC"/>
    <w:rsid w:val="3AAA1C17"/>
    <w:rsid w:val="3BD86C58"/>
    <w:rsid w:val="3C30439E"/>
    <w:rsid w:val="3D570E89"/>
    <w:rsid w:val="3E4834DE"/>
    <w:rsid w:val="3E635290"/>
    <w:rsid w:val="3E9E5F37"/>
    <w:rsid w:val="3EA66B99"/>
    <w:rsid w:val="3F081602"/>
    <w:rsid w:val="3F204B9E"/>
    <w:rsid w:val="3F5B3E28"/>
    <w:rsid w:val="3F7B1DD4"/>
    <w:rsid w:val="3F825419"/>
    <w:rsid w:val="3F9133A5"/>
    <w:rsid w:val="40316936"/>
    <w:rsid w:val="413E130B"/>
    <w:rsid w:val="415B010F"/>
    <w:rsid w:val="41F1637D"/>
    <w:rsid w:val="42913407"/>
    <w:rsid w:val="43456981"/>
    <w:rsid w:val="435B61A4"/>
    <w:rsid w:val="43607270"/>
    <w:rsid w:val="439671DC"/>
    <w:rsid w:val="439E42E3"/>
    <w:rsid w:val="43BB60A2"/>
    <w:rsid w:val="43BD0C0D"/>
    <w:rsid w:val="43C95804"/>
    <w:rsid w:val="43EA7528"/>
    <w:rsid w:val="44A1408B"/>
    <w:rsid w:val="44E87FDB"/>
    <w:rsid w:val="45F97EF6"/>
    <w:rsid w:val="46733805"/>
    <w:rsid w:val="47653A95"/>
    <w:rsid w:val="47E0311C"/>
    <w:rsid w:val="47E81FD1"/>
    <w:rsid w:val="48227B14"/>
    <w:rsid w:val="4856518C"/>
    <w:rsid w:val="489D725F"/>
    <w:rsid w:val="48CC544E"/>
    <w:rsid w:val="49292CF9"/>
    <w:rsid w:val="49A5461D"/>
    <w:rsid w:val="4AFD2237"/>
    <w:rsid w:val="4B9C55AC"/>
    <w:rsid w:val="4C200CE9"/>
    <w:rsid w:val="4C207F8B"/>
    <w:rsid w:val="4C4F6AC2"/>
    <w:rsid w:val="4CDE5F8D"/>
    <w:rsid w:val="4D5B4FF3"/>
    <w:rsid w:val="4ECA12B6"/>
    <w:rsid w:val="50F11EF6"/>
    <w:rsid w:val="5124051D"/>
    <w:rsid w:val="51525613"/>
    <w:rsid w:val="515D758B"/>
    <w:rsid w:val="51E71C71"/>
    <w:rsid w:val="529C2335"/>
    <w:rsid w:val="53023F54"/>
    <w:rsid w:val="53061DFB"/>
    <w:rsid w:val="53332C9A"/>
    <w:rsid w:val="54216F96"/>
    <w:rsid w:val="5435659E"/>
    <w:rsid w:val="545E3D46"/>
    <w:rsid w:val="54BE2A37"/>
    <w:rsid w:val="55264138"/>
    <w:rsid w:val="56C105BC"/>
    <w:rsid w:val="579932E7"/>
    <w:rsid w:val="57FF75EE"/>
    <w:rsid w:val="581867B7"/>
    <w:rsid w:val="585C67EF"/>
    <w:rsid w:val="588E44CE"/>
    <w:rsid w:val="58C223CA"/>
    <w:rsid w:val="58C85C32"/>
    <w:rsid w:val="595B0854"/>
    <w:rsid w:val="59965D30"/>
    <w:rsid w:val="59B315E8"/>
    <w:rsid w:val="5A290952"/>
    <w:rsid w:val="5A551621"/>
    <w:rsid w:val="5A9658BC"/>
    <w:rsid w:val="5AD14B46"/>
    <w:rsid w:val="5AD44F4B"/>
    <w:rsid w:val="5B1E5FDD"/>
    <w:rsid w:val="5B77749C"/>
    <w:rsid w:val="5B9B13DC"/>
    <w:rsid w:val="5BAC35E9"/>
    <w:rsid w:val="5BCC3C8B"/>
    <w:rsid w:val="5C92053D"/>
    <w:rsid w:val="5D5F2904"/>
    <w:rsid w:val="5D6F2B20"/>
    <w:rsid w:val="5D9B1B67"/>
    <w:rsid w:val="5E086AD1"/>
    <w:rsid w:val="5E9B16F3"/>
    <w:rsid w:val="5EF37781"/>
    <w:rsid w:val="5EF552A7"/>
    <w:rsid w:val="5F1C2834"/>
    <w:rsid w:val="5F797C86"/>
    <w:rsid w:val="60170C87"/>
    <w:rsid w:val="606E3563"/>
    <w:rsid w:val="60D20336"/>
    <w:rsid w:val="61D07906"/>
    <w:rsid w:val="61ED6709"/>
    <w:rsid w:val="63DA0F0F"/>
    <w:rsid w:val="641206A9"/>
    <w:rsid w:val="646B34E0"/>
    <w:rsid w:val="6477050C"/>
    <w:rsid w:val="64775F4E"/>
    <w:rsid w:val="64A94282"/>
    <w:rsid w:val="64C25C2B"/>
    <w:rsid w:val="65901886"/>
    <w:rsid w:val="65B23EF2"/>
    <w:rsid w:val="661C75BD"/>
    <w:rsid w:val="66F2031E"/>
    <w:rsid w:val="68246BFD"/>
    <w:rsid w:val="685E210F"/>
    <w:rsid w:val="68E36170"/>
    <w:rsid w:val="69DD7064"/>
    <w:rsid w:val="69F0373D"/>
    <w:rsid w:val="6A5E63F6"/>
    <w:rsid w:val="6AA22643"/>
    <w:rsid w:val="6B064398"/>
    <w:rsid w:val="6C524942"/>
    <w:rsid w:val="6C5A499B"/>
    <w:rsid w:val="6D0B038C"/>
    <w:rsid w:val="6E3F209B"/>
    <w:rsid w:val="6EBA7973"/>
    <w:rsid w:val="6F96218E"/>
    <w:rsid w:val="6FAC3760"/>
    <w:rsid w:val="708B7819"/>
    <w:rsid w:val="71310CA7"/>
    <w:rsid w:val="71DF40BE"/>
    <w:rsid w:val="72BF7C4E"/>
    <w:rsid w:val="73124222"/>
    <w:rsid w:val="739E426D"/>
    <w:rsid w:val="73BF2EF7"/>
    <w:rsid w:val="740C6EC3"/>
    <w:rsid w:val="749D7B1B"/>
    <w:rsid w:val="75826D11"/>
    <w:rsid w:val="75AA6994"/>
    <w:rsid w:val="760951B9"/>
    <w:rsid w:val="762878B8"/>
    <w:rsid w:val="76692DC4"/>
    <w:rsid w:val="774E15A1"/>
    <w:rsid w:val="77534E09"/>
    <w:rsid w:val="778925D9"/>
    <w:rsid w:val="77AB254F"/>
    <w:rsid w:val="77E048EF"/>
    <w:rsid w:val="78153E6C"/>
    <w:rsid w:val="783C589D"/>
    <w:rsid w:val="786848E4"/>
    <w:rsid w:val="786D1EFA"/>
    <w:rsid w:val="78AE679B"/>
    <w:rsid w:val="78FB12B4"/>
    <w:rsid w:val="7A637111"/>
    <w:rsid w:val="7AD52FBE"/>
    <w:rsid w:val="7B220D7A"/>
    <w:rsid w:val="7B3E1B4B"/>
    <w:rsid w:val="7B4C229B"/>
    <w:rsid w:val="7B542EFE"/>
    <w:rsid w:val="7CB410FC"/>
    <w:rsid w:val="7D3923AB"/>
    <w:rsid w:val="7D697134"/>
    <w:rsid w:val="7DDD367E"/>
    <w:rsid w:val="7E062BD5"/>
    <w:rsid w:val="7E290672"/>
    <w:rsid w:val="7E38377D"/>
    <w:rsid w:val="7EBB2021"/>
    <w:rsid w:val="7FD528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39" w:semiHidden="0" w:name="toc 2"/>
    <w:lsdException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caption"/>
    <w:basedOn w:val="1"/>
    <w:next w:val="1"/>
    <w:qFormat/>
    <w:uiPriority w:val="0"/>
    <w:pPr>
      <w:spacing w:before="152" w:after="160"/>
    </w:pPr>
    <w:rPr>
      <w:rFonts w:ascii="Arial" w:hAnsi="Arial" w:eastAsia="黑体" w:cs="Arial"/>
      <w:sz w:val="20"/>
      <w:szCs w:val="20"/>
    </w:rPr>
  </w:style>
  <w:style w:type="paragraph" w:styleId="3">
    <w:name w:val="toc 3"/>
    <w:basedOn w:val="1"/>
    <w:next w:val="1"/>
    <w:uiPriority w:val="39"/>
    <w:pPr>
      <w:tabs>
        <w:tab w:val="right" w:leader="dot" w:pos="9241"/>
      </w:tabs>
      <w:ind w:firstLine="210" w:firstLineChars="100"/>
      <w:jc w:val="left"/>
    </w:pPr>
    <w:rPr>
      <w:rFonts w:ascii="宋体" w:hAnsi="宋体"/>
      <w:kern w:val="0"/>
      <w:szCs w:val="21"/>
    </w:rPr>
  </w:style>
  <w:style w:type="paragraph" w:styleId="4">
    <w:name w:val="footer"/>
    <w:basedOn w:val="1"/>
    <w:qFormat/>
    <w:uiPriority w:val="99"/>
    <w:pPr>
      <w:tabs>
        <w:tab w:val="center" w:pos="4153"/>
        <w:tab w:val="right" w:pos="8306"/>
      </w:tabs>
      <w:snapToGrid w:val="0"/>
      <w:jc w:val="left"/>
    </w:pPr>
    <w:rPr>
      <w:rFonts w:ascii="Times New Roman" w:hAnsi="Times New Roman" w:eastAsia="宋体" w:cs="Times New Roman"/>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sz w:val="18"/>
      <w:szCs w:val="18"/>
    </w:rPr>
  </w:style>
  <w:style w:type="paragraph" w:styleId="6">
    <w:name w:val="toc 1"/>
    <w:basedOn w:val="1"/>
    <w:next w:val="1"/>
    <w:qFormat/>
    <w:uiPriority w:val="39"/>
    <w:pPr>
      <w:tabs>
        <w:tab w:val="right" w:leader="dot" w:pos="9241"/>
      </w:tabs>
      <w:spacing w:before="78" w:beforeLines="25" w:after="78" w:afterLines="25"/>
      <w:jc w:val="left"/>
    </w:pPr>
    <w:rPr>
      <w:rFonts w:ascii="宋体"/>
      <w:szCs w:val="21"/>
    </w:rPr>
  </w:style>
  <w:style w:type="paragraph" w:styleId="7">
    <w:name w:val="toc 2"/>
    <w:basedOn w:val="1"/>
    <w:next w:val="1"/>
    <w:uiPriority w:val="39"/>
    <w:pPr>
      <w:tabs>
        <w:tab w:val="right" w:leader="dot" w:pos="9241"/>
      </w:tabs>
    </w:pPr>
    <w:rPr>
      <w:rFonts w:ascii="宋体"/>
      <w:szCs w:val="21"/>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11">
    <w:name w:val="page number"/>
    <w:basedOn w:val="10"/>
    <w:qFormat/>
    <w:uiPriority w:val="0"/>
  </w:style>
  <w:style w:type="character" w:styleId="12">
    <w:name w:val="Hyperlink"/>
    <w:basedOn w:val="10"/>
    <w:unhideWhenUsed/>
    <w:uiPriority w:val="99"/>
    <w:rPr>
      <w:color w:val="0563C1" w:themeColor="hyperlink"/>
      <w:u w:val="single"/>
      <w14:textFill>
        <w14:solidFill>
          <w14:schemeClr w14:val="hlink"/>
        </w14:solidFill>
      </w14:textFill>
    </w:rPr>
  </w:style>
  <w:style w:type="paragraph" w:customStyle="1" w:styleId="13">
    <w:name w:val="目次、标准名称标题"/>
    <w:basedOn w:val="1"/>
    <w:next w:val="1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4">
    <w:name w:val="段"/>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5">
    <w:name w:val="前言、引言标题"/>
    <w:next w:val="14"/>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6">
    <w:name w:val="标准书眉_奇数页"/>
    <w:next w:val="1"/>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7">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8">
    <w:name w:val="章标题"/>
    <w:next w:val="14"/>
    <w:qFormat/>
    <w:uiPriority w:val="0"/>
    <w:pPr>
      <w:numPr>
        <w:ilvl w:val="0"/>
        <w:numId w:val="1"/>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9">
    <w:name w:val="一级条标题"/>
    <w:next w:val="14"/>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0">
    <w:name w:val="二级条标题"/>
    <w:basedOn w:val="19"/>
    <w:next w:val="14"/>
    <w:uiPriority w:val="0"/>
    <w:pPr>
      <w:numPr>
        <w:ilvl w:val="2"/>
      </w:numPr>
      <w:spacing w:before="50" w:after="50"/>
      <w:outlineLvl w:val="3"/>
    </w:pPr>
  </w:style>
  <w:style w:type="paragraph" w:customStyle="1" w:styleId="21">
    <w:name w:val="字母编号列项（一级）"/>
    <w:qFormat/>
    <w:uiPriority w:val="0"/>
    <w:pPr>
      <w:numPr>
        <w:ilvl w:val="0"/>
        <w:numId w:val="2"/>
      </w:numPr>
      <w:jc w:val="both"/>
    </w:pPr>
    <w:rPr>
      <w:rFonts w:ascii="宋体" w:hAnsi="Times New Roman" w:eastAsia="宋体" w:cs="Times New Roman"/>
      <w:sz w:val="21"/>
      <w:lang w:val="en-US" w:eastAsia="zh-CN" w:bidi="ar-SA"/>
    </w:rPr>
  </w:style>
  <w:style w:type="paragraph" w:styleId="22">
    <w:name w:val="List Paragraph"/>
    <w:basedOn w:val="1"/>
    <w:qFormat/>
    <w:uiPriority w:val="99"/>
    <w:pPr>
      <w:spacing w:before="43"/>
      <w:ind w:left="1298" w:hanging="420"/>
    </w:pPr>
    <w:rPr>
      <w:rFonts w:ascii="宋体" w:hAnsi="宋体" w:eastAsia="宋体" w:cs="宋体"/>
      <w:lang w:val="zh-CN" w:bidi="zh-CN"/>
    </w:rPr>
  </w:style>
  <w:style w:type="character" w:customStyle="1" w:styleId="23">
    <w:name w:val="markedcontent"/>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3266</Words>
  <Characters>4316</Characters>
  <Lines>45</Lines>
  <Paragraphs>12</Paragraphs>
  <TotalTime>0</TotalTime>
  <ScaleCrop>false</ScaleCrop>
  <LinksUpToDate>false</LinksUpToDate>
  <CharactersWithSpaces>4461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2022-10-24T07:33:00Z</dcterms:created>
  <dc:creator>lenovo</dc:creator>
  <cp:lastModifiedBy>lenovo</cp:lastModifiedBy>
  <dcterms:modified xsi:type="dcterms:W3CDTF">2022-10-26T09:07:09Z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2C1B8BF4918A4BA39A15F827812CEB3E</vt:lpwstr>
  </property>
</Properties>
</file>